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2A7C">
      <w:pPr>
        <w:jc w:val="both"/>
        <w:rPr>
          <w:rFonts w:asciiTheme="majorBidi" w:hAnsiTheme="majorBidi" w:cstheme="majorBidi"/>
          <w:b/>
          <w:bCs/>
        </w:rPr>
      </w:pPr>
      <w:r>
        <w:rPr>
          <w:rFonts w:asciiTheme="majorBidi" w:hAnsiTheme="majorBidi" w:cstheme="majorBidi"/>
          <w:b/>
          <w:bCs/>
        </w:rPr>
        <w:t>KAMPALA MINISTERIAL COMMUNIQUÉ OF THE 1</w:t>
      </w:r>
      <w:r>
        <w:rPr>
          <w:rFonts w:asciiTheme="majorBidi" w:hAnsiTheme="majorBidi" w:cstheme="majorBidi"/>
          <w:b/>
          <w:bCs/>
          <w:vertAlign w:val="superscript"/>
        </w:rPr>
        <w:t>ST</w:t>
      </w:r>
      <w:r>
        <w:rPr>
          <w:rFonts w:asciiTheme="majorBidi" w:hAnsiTheme="majorBidi" w:cstheme="majorBidi"/>
          <w:b/>
          <w:bCs/>
        </w:rPr>
        <w:t xml:space="preserve"> REGIONAL MINISTERIAL CONFERENCE ON THE EAST AFRICAN COMMUNITY COMMON HIGHER EDUCATION AREA (EACHEA)</w:t>
      </w:r>
    </w:p>
    <w:p w14:paraId="19F4D35A">
      <w:pPr>
        <w:jc w:val="both"/>
        <w:rPr>
          <w:rFonts w:asciiTheme="majorBidi" w:hAnsiTheme="majorBidi" w:cstheme="majorBidi"/>
          <w:b/>
          <w:bCs/>
        </w:rPr>
      </w:pPr>
      <w:r>
        <w:rPr>
          <w:rFonts w:asciiTheme="majorBidi" w:hAnsiTheme="majorBidi" w:cstheme="majorBidi"/>
          <w:b/>
          <w:bCs/>
        </w:rPr>
        <w:t>Kampala, Republic of Uganda</w:t>
      </w:r>
    </w:p>
    <w:p w14:paraId="0D1286D7">
      <w:pPr>
        <w:jc w:val="both"/>
        <w:rPr>
          <w:rFonts w:asciiTheme="majorBidi" w:hAnsiTheme="majorBidi" w:cstheme="majorBidi"/>
        </w:rPr>
      </w:pPr>
      <w:r>
        <w:rPr>
          <w:rFonts w:asciiTheme="majorBidi" w:hAnsiTheme="majorBidi" w:cstheme="majorBidi"/>
          <w:b/>
          <w:bCs/>
        </w:rPr>
        <w:t>11th September 2025</w:t>
      </w:r>
    </w:p>
    <w:p w14:paraId="303D4F59">
      <w:pPr>
        <w:jc w:val="both"/>
        <w:rPr>
          <w:rFonts w:asciiTheme="majorBidi" w:hAnsiTheme="majorBidi" w:cstheme="majorBidi"/>
          <w:b/>
          <w:bCs/>
        </w:rPr>
      </w:pPr>
      <w:bookmarkStart w:id="1" w:name="_GoBack"/>
      <w:bookmarkEnd w:id="1"/>
    </w:p>
    <w:p w14:paraId="75276153">
      <w:pPr>
        <w:jc w:val="both"/>
        <w:rPr>
          <w:rFonts w:asciiTheme="majorBidi" w:hAnsiTheme="majorBidi" w:cstheme="majorBidi"/>
          <w:b/>
          <w:bCs/>
        </w:rPr>
      </w:pPr>
      <w:r>
        <w:rPr>
          <w:rFonts w:asciiTheme="majorBidi" w:hAnsiTheme="majorBidi" w:cstheme="majorBidi"/>
          <w:b/>
          <w:bCs/>
        </w:rPr>
        <w:t>Preamble</w:t>
      </w:r>
    </w:p>
    <w:p w14:paraId="02CD9E4C">
      <w:pPr>
        <w:jc w:val="both"/>
        <w:rPr>
          <w:rFonts w:asciiTheme="majorBidi" w:hAnsiTheme="majorBidi" w:cstheme="majorBidi"/>
        </w:rPr>
      </w:pPr>
      <w:r>
        <w:rPr>
          <w:rFonts w:asciiTheme="majorBidi" w:hAnsiTheme="majorBidi" w:cstheme="majorBidi"/>
        </w:rPr>
        <w:t>We, the Ministers responsible for Higher Education in the East African Community (EAC) Partner States - Republic of Burundi, Democratic Republic of Congo, Republic of Kenya, Republic of Rwanda, Federal Republic of Somalia, Republic of South Sudan, Republic of Uganda, and the United Republic of Tanzania - meeting in Kampala, Republic of Uganda, from 9</w:t>
      </w:r>
      <w:r>
        <w:rPr>
          <w:rFonts w:asciiTheme="majorBidi" w:hAnsiTheme="majorBidi" w:cstheme="majorBidi"/>
          <w:vertAlign w:val="superscript"/>
        </w:rPr>
        <w:t>th</w:t>
      </w:r>
      <w:r>
        <w:rPr>
          <w:rFonts w:asciiTheme="majorBidi" w:hAnsiTheme="majorBidi" w:cstheme="majorBidi"/>
        </w:rPr>
        <w:t xml:space="preserve"> to 11</w:t>
      </w:r>
      <w:r>
        <w:rPr>
          <w:rFonts w:asciiTheme="majorBidi" w:hAnsiTheme="majorBidi" w:cstheme="majorBidi"/>
          <w:vertAlign w:val="superscript"/>
        </w:rPr>
        <w:t>th</w:t>
      </w:r>
      <w:r>
        <w:rPr>
          <w:rFonts w:asciiTheme="majorBidi" w:hAnsiTheme="majorBidi" w:cstheme="majorBidi"/>
        </w:rPr>
        <w:t xml:space="preserve"> September 2025 for the 1</w:t>
      </w:r>
      <w:r>
        <w:rPr>
          <w:rFonts w:asciiTheme="majorBidi" w:hAnsiTheme="majorBidi" w:cstheme="majorBidi"/>
          <w:vertAlign w:val="superscript"/>
        </w:rPr>
        <w:t>st</w:t>
      </w:r>
      <w:r>
        <w:rPr>
          <w:rFonts w:asciiTheme="majorBidi" w:hAnsiTheme="majorBidi" w:cstheme="majorBidi"/>
        </w:rPr>
        <w:t xml:space="preserve"> Regional Ministerial Conference on the East African Community Common Higher Education Area (EACHEA), under the auspices of the Forum of Chief Executive Officers of National Councils and Commissions for Higher Education in East Africa, the Inter-University Council for East Africa (IUCEA) and with the participation of other national education agencies, Vice Chancellors and other heads of institutions, student representatives, professional bodies, industry partners, and development partners;</w:t>
      </w:r>
    </w:p>
    <w:p w14:paraId="52DD6955">
      <w:pPr>
        <w:jc w:val="both"/>
        <w:rPr>
          <w:rFonts w:asciiTheme="majorBidi" w:hAnsiTheme="majorBidi" w:cstheme="majorBidi"/>
        </w:rPr>
      </w:pPr>
      <w:r>
        <w:rPr>
          <w:rFonts w:asciiTheme="majorBidi" w:hAnsiTheme="majorBidi" w:cstheme="majorBidi"/>
        </w:rPr>
        <w:t xml:space="preserve">Having convened under the theme </w:t>
      </w:r>
      <w:r>
        <w:rPr>
          <w:rFonts w:asciiTheme="majorBidi" w:hAnsiTheme="majorBidi" w:cstheme="majorBidi"/>
          <w:i/>
          <w:iCs/>
        </w:rPr>
        <w:t>"</w:t>
      </w:r>
      <w:r>
        <w:rPr>
          <w:rFonts w:ascii="Times New Roman" w:hAnsi="Times New Roman" w:eastAsia="Times New Roman" w:cs="Times New Roman"/>
          <w:i/>
          <w:iCs/>
          <w:kern w:val="0"/>
          <w:sz w:val="36"/>
          <w:szCs w:val="36"/>
          <w:lang w:val="en-US"/>
          <w14:ligatures w14:val="none"/>
        </w:rPr>
        <w:t xml:space="preserve"> </w:t>
      </w:r>
      <w:r>
        <w:rPr>
          <w:rFonts w:asciiTheme="majorBidi" w:hAnsiTheme="majorBidi" w:cstheme="majorBidi"/>
          <w:i/>
          <w:iCs/>
          <w:lang w:val="en-US"/>
        </w:rPr>
        <w:t>Enhancing Regional Integration through Harmonised Higher Education</w:t>
      </w:r>
      <w:r>
        <w:rPr>
          <w:rFonts w:asciiTheme="majorBidi" w:hAnsiTheme="majorBidi" w:cstheme="majorBidi"/>
          <w:i/>
          <w:iCs/>
          <w:lang w:val="en-US"/>
        </w:rPr>
        <w:noBreakHyphen/>
      </w:r>
      <w:r>
        <w:rPr>
          <w:rFonts w:asciiTheme="majorBidi" w:hAnsiTheme="majorBidi" w:cstheme="majorBidi"/>
          <w:i/>
          <w:iCs/>
          <w:lang w:val="en-US"/>
        </w:rPr>
        <w:t xml:space="preserve"> Systems for Sustainable Development in East Africa</w:t>
      </w:r>
      <w:r>
        <w:rPr>
          <w:rFonts w:asciiTheme="majorBidi" w:hAnsiTheme="majorBidi" w:cstheme="majorBidi"/>
          <w:i/>
          <w:iCs/>
        </w:rPr>
        <w:t xml:space="preserve"> "</w:t>
      </w:r>
      <w:r>
        <w:rPr>
          <w:rFonts w:asciiTheme="majorBidi" w:hAnsiTheme="majorBidi" w:cstheme="majorBidi"/>
        </w:rPr>
        <w:t>, to deliberate on progress, challenges, and strategies for the accelerated operationalisation of the EACHEA, in fulfilment of our obligations under EAC policy and legal frameworks and in alignment with African continental and global development agendas.</w:t>
      </w:r>
    </w:p>
    <w:p w14:paraId="6AEF740B">
      <w:pPr>
        <w:jc w:val="both"/>
        <w:rPr>
          <w:rFonts w:asciiTheme="majorBidi" w:hAnsiTheme="majorBidi" w:cstheme="majorBidi"/>
          <w:b/>
          <w:bCs/>
        </w:rPr>
      </w:pPr>
      <w:r>
        <w:rPr>
          <w:rFonts w:asciiTheme="majorBidi" w:hAnsiTheme="majorBidi" w:cstheme="majorBidi"/>
          <w:b/>
          <w:bCs/>
        </w:rPr>
        <w:t>Recalling</w:t>
      </w:r>
    </w:p>
    <w:p w14:paraId="7F43A867">
      <w:pPr>
        <w:numPr>
          <w:ilvl w:val="0"/>
          <w:numId w:val="1"/>
        </w:numPr>
        <w:jc w:val="both"/>
        <w:rPr>
          <w:rFonts w:asciiTheme="majorBidi" w:hAnsiTheme="majorBidi" w:cstheme="majorBidi"/>
        </w:rPr>
      </w:pPr>
      <w:r>
        <w:rPr>
          <w:rFonts w:asciiTheme="majorBidi" w:hAnsiTheme="majorBidi" w:cstheme="majorBidi"/>
        </w:rPr>
        <w:t>The Treaty for the Establishment of the East African Community, particularly Articles 5, 102, 103, and 104, which commit Partner States to promote harmonisation of educational systems, curricula, examinations, and certification, as well as mutual recognition of qualifications to facilitate free movement of people and regional integration.</w:t>
      </w:r>
    </w:p>
    <w:p w14:paraId="61A07286">
      <w:pPr>
        <w:numPr>
          <w:ilvl w:val="0"/>
          <w:numId w:val="1"/>
        </w:numPr>
        <w:jc w:val="both"/>
        <w:rPr>
          <w:rFonts w:asciiTheme="majorBidi" w:hAnsiTheme="majorBidi" w:cstheme="majorBidi"/>
        </w:rPr>
      </w:pPr>
      <w:r>
        <w:rPr>
          <w:rFonts w:asciiTheme="majorBidi" w:hAnsiTheme="majorBidi" w:cstheme="majorBidi"/>
        </w:rPr>
        <w:t>The Inter-University Council for East Africa (IUCEA) Act, 2009, particularly Sections 4 and 6, which mandate IUCEA to coordinate the development of higher education and research to foster a common higher education space in the region.</w:t>
      </w:r>
    </w:p>
    <w:p w14:paraId="0EBB9662">
      <w:pPr>
        <w:numPr>
          <w:ilvl w:val="0"/>
          <w:numId w:val="1"/>
        </w:numPr>
        <w:jc w:val="both"/>
        <w:rPr>
          <w:rFonts w:asciiTheme="majorBidi" w:hAnsiTheme="majorBidi" w:cstheme="majorBidi"/>
        </w:rPr>
      </w:pPr>
      <w:r>
        <w:rPr>
          <w:rFonts w:asciiTheme="majorBidi" w:hAnsiTheme="majorBidi" w:cstheme="majorBidi"/>
          <w:lang w:val="en-US"/>
        </w:rPr>
        <w:t xml:space="preserve">The Common Market Protocol, 2010, particularly Article 11 which obliges Partner States to mutually recognize the academic and professional qualifications granted, experiences obtained, requirements met, licences, or certifications granted, in other Partner States; and harmonise their curricula, examinations, standards, certification and accreditation of educational and training institutions. </w:t>
      </w:r>
    </w:p>
    <w:p w14:paraId="05129B06">
      <w:pPr>
        <w:numPr>
          <w:ilvl w:val="0"/>
          <w:numId w:val="1"/>
        </w:numPr>
        <w:jc w:val="both"/>
        <w:rPr>
          <w:rFonts w:asciiTheme="majorBidi" w:hAnsiTheme="majorBidi" w:cstheme="majorBidi"/>
        </w:rPr>
      </w:pPr>
      <w:r>
        <w:rPr>
          <w:rFonts w:asciiTheme="majorBidi" w:hAnsiTheme="majorBidi" w:cstheme="majorBidi"/>
        </w:rPr>
        <w:t>The Declaration of the EAC as a Common Higher Education Area made by the EAC Heads of State on 20</w:t>
      </w:r>
      <w:r>
        <w:rPr>
          <w:rFonts w:asciiTheme="majorBidi" w:hAnsiTheme="majorBidi" w:cstheme="majorBidi"/>
          <w:vertAlign w:val="superscript"/>
        </w:rPr>
        <w:t xml:space="preserve">th </w:t>
      </w:r>
      <w:r>
        <w:rPr>
          <w:rFonts w:asciiTheme="majorBidi" w:hAnsiTheme="majorBidi" w:cstheme="majorBidi"/>
        </w:rPr>
        <w:t>May 2017 in Dar es Salaam, United Republic of Tanzania, which marked a milestone in the harmonisation of higher education systems in the region.</w:t>
      </w:r>
    </w:p>
    <w:p w14:paraId="7CCD6D83">
      <w:pPr>
        <w:jc w:val="both"/>
        <w:rPr>
          <w:rFonts w:asciiTheme="majorBidi" w:hAnsiTheme="majorBidi" w:cstheme="majorBidi"/>
          <w:b/>
          <w:bCs/>
        </w:rPr>
      </w:pPr>
    </w:p>
    <w:p w14:paraId="506A0B9E">
      <w:pPr>
        <w:jc w:val="both"/>
        <w:rPr>
          <w:rFonts w:asciiTheme="majorBidi" w:hAnsiTheme="majorBidi" w:cstheme="majorBidi"/>
          <w:b/>
          <w:bCs/>
        </w:rPr>
      </w:pPr>
      <w:r>
        <w:rPr>
          <w:rFonts w:asciiTheme="majorBidi" w:hAnsiTheme="majorBidi" w:cstheme="majorBidi"/>
          <w:b/>
          <w:bCs/>
        </w:rPr>
        <w:t>Recognising</w:t>
      </w:r>
    </w:p>
    <w:p w14:paraId="0F4C88F0">
      <w:pPr>
        <w:numPr>
          <w:ilvl w:val="0"/>
          <w:numId w:val="2"/>
        </w:numPr>
        <w:jc w:val="both"/>
        <w:rPr>
          <w:rFonts w:asciiTheme="majorBidi" w:hAnsiTheme="majorBidi" w:cstheme="majorBidi"/>
        </w:rPr>
      </w:pPr>
      <w:r>
        <w:rPr>
          <w:rFonts w:asciiTheme="majorBidi" w:hAnsiTheme="majorBidi" w:cstheme="majorBidi"/>
        </w:rPr>
        <w:t>The central role of higher education in producing skilled, innovative, and adaptable human capital necessary for driving the region’s socio-economic transformation, technological advancement, and accelerating deeper EAC regional integration.</w:t>
      </w:r>
    </w:p>
    <w:p w14:paraId="2E2AC22D">
      <w:pPr>
        <w:numPr>
          <w:ilvl w:val="0"/>
          <w:numId w:val="2"/>
        </w:numPr>
        <w:jc w:val="both"/>
        <w:rPr>
          <w:rFonts w:asciiTheme="majorBidi" w:hAnsiTheme="majorBidi" w:cstheme="majorBidi"/>
        </w:rPr>
      </w:pPr>
      <w:r>
        <w:rPr>
          <w:rFonts w:asciiTheme="majorBidi" w:hAnsiTheme="majorBidi" w:cstheme="majorBidi"/>
        </w:rPr>
        <w:t>The tremendous efforts made by Partner States in establishing unique and quality higher education systems that have shaped and contributed to the development of skilled and knowledgeable graduates necessary for national and regional development.</w:t>
      </w:r>
    </w:p>
    <w:p w14:paraId="062E1F2E">
      <w:pPr>
        <w:numPr>
          <w:ilvl w:val="0"/>
          <w:numId w:val="2"/>
        </w:numPr>
        <w:jc w:val="both"/>
        <w:rPr>
          <w:rFonts w:asciiTheme="majorBidi" w:hAnsiTheme="majorBidi" w:cstheme="majorBidi"/>
        </w:rPr>
      </w:pPr>
      <w:r>
        <w:rPr>
          <w:rFonts w:asciiTheme="majorBidi" w:hAnsiTheme="majorBidi" w:cstheme="majorBidi"/>
        </w:rPr>
        <w:t xml:space="preserve">The progress made by Partner States, IUCEA, National Councils/Commissions for Higher Education and other stakeholders in developing and implementing relevant regional higher education frameworks such as the </w:t>
      </w:r>
      <w:r>
        <w:rPr>
          <w:rFonts w:asciiTheme="majorBidi" w:hAnsiTheme="majorBidi" w:cstheme="majorBidi"/>
          <w:i/>
          <w:iCs/>
        </w:rPr>
        <w:t>East African Qualifications Framework for Higher Education (EAQFHE)</w:t>
      </w:r>
      <w:r>
        <w:rPr>
          <w:rFonts w:asciiTheme="majorBidi" w:hAnsiTheme="majorBidi" w:cstheme="majorBidi"/>
        </w:rPr>
        <w:t xml:space="preserve">, the </w:t>
      </w:r>
      <w:r>
        <w:rPr>
          <w:rFonts w:asciiTheme="majorBidi" w:hAnsiTheme="majorBidi" w:cstheme="majorBidi"/>
          <w:i/>
          <w:iCs/>
        </w:rPr>
        <w:t>Regional Quality Assurance Framework (RQAF)</w:t>
      </w:r>
      <w:r>
        <w:rPr>
          <w:rFonts w:asciiTheme="majorBidi" w:hAnsiTheme="majorBidi" w:cstheme="majorBidi"/>
        </w:rPr>
        <w:t>, the</w:t>
      </w:r>
      <w:r>
        <w:rPr>
          <w:rFonts w:asciiTheme="majorBidi" w:hAnsiTheme="majorBidi" w:cstheme="majorBidi"/>
          <w:i/>
          <w:iCs/>
        </w:rPr>
        <w:t xml:space="preserve"> East African Community Credit Accumulation and Transfer System (EAC-CATS), </w:t>
      </w:r>
      <w:r>
        <w:rPr>
          <w:rFonts w:asciiTheme="majorBidi" w:hAnsiTheme="majorBidi" w:cstheme="majorBidi"/>
        </w:rPr>
        <w:t>the</w:t>
      </w:r>
      <w:r>
        <w:rPr>
          <w:rFonts w:asciiTheme="majorBidi" w:hAnsiTheme="majorBidi" w:cstheme="majorBidi"/>
          <w:i/>
          <w:iCs/>
        </w:rPr>
        <w:t xml:space="preserve"> EAC Regional Programme Accreditation Framework</w:t>
      </w:r>
      <w:r>
        <w:rPr>
          <w:rFonts w:asciiTheme="majorBidi" w:hAnsiTheme="majorBidi" w:cstheme="majorBidi"/>
        </w:rPr>
        <w:t xml:space="preserve">, and the </w:t>
      </w:r>
      <w:r>
        <w:rPr>
          <w:rFonts w:asciiTheme="majorBidi" w:hAnsiTheme="majorBidi" w:cstheme="majorBidi"/>
          <w:i/>
          <w:iCs/>
        </w:rPr>
        <w:t>Research Excellence Framework for Higher Education in East Africa (REFHE-EA)</w:t>
      </w:r>
      <w:r>
        <w:rPr>
          <w:rFonts w:asciiTheme="majorBidi" w:hAnsiTheme="majorBidi" w:cstheme="majorBidi"/>
        </w:rPr>
        <w:t>.</w:t>
      </w:r>
    </w:p>
    <w:p w14:paraId="326EDFD5">
      <w:pPr>
        <w:numPr>
          <w:ilvl w:val="0"/>
          <w:numId w:val="2"/>
        </w:numPr>
        <w:jc w:val="both"/>
        <w:rPr>
          <w:rFonts w:asciiTheme="majorBidi" w:hAnsiTheme="majorBidi" w:cstheme="majorBidi"/>
        </w:rPr>
      </w:pPr>
      <w:r>
        <w:rPr>
          <w:rFonts w:asciiTheme="majorBidi" w:hAnsiTheme="majorBidi" w:cstheme="majorBidi"/>
        </w:rPr>
        <w:t>The growing opportunities for collaboration in cross-border education and research, and in student and staff mobility, both within the EAC and in collaboration with other continental and global academic partners.</w:t>
      </w:r>
    </w:p>
    <w:p w14:paraId="748EBAC8">
      <w:pPr>
        <w:jc w:val="both"/>
        <w:rPr>
          <w:rFonts w:asciiTheme="majorBidi" w:hAnsiTheme="majorBidi" w:cstheme="majorBidi"/>
          <w:b/>
          <w:bCs/>
        </w:rPr>
      </w:pPr>
      <w:r>
        <w:rPr>
          <w:rFonts w:asciiTheme="majorBidi" w:hAnsiTheme="majorBidi" w:cstheme="majorBidi"/>
          <w:b/>
          <w:bCs/>
        </w:rPr>
        <w:t>Acknowledging</w:t>
      </w:r>
    </w:p>
    <w:p w14:paraId="22A0701C">
      <w:pPr>
        <w:numPr>
          <w:ilvl w:val="0"/>
          <w:numId w:val="3"/>
        </w:numPr>
        <w:jc w:val="both"/>
        <w:rPr>
          <w:rFonts w:asciiTheme="majorBidi" w:hAnsiTheme="majorBidi" w:cstheme="majorBidi"/>
        </w:rPr>
      </w:pPr>
      <w:r>
        <w:rPr>
          <w:rFonts w:asciiTheme="majorBidi" w:hAnsiTheme="majorBidi" w:cstheme="majorBidi"/>
        </w:rPr>
        <w:t>Persistent challenges facing higher education in the region, including:</w:t>
      </w:r>
    </w:p>
    <w:p w14:paraId="7FF9B9E9">
      <w:pPr>
        <w:numPr>
          <w:ilvl w:val="1"/>
          <w:numId w:val="4"/>
        </w:numPr>
        <w:jc w:val="both"/>
        <w:rPr>
          <w:rFonts w:asciiTheme="majorBidi" w:hAnsiTheme="majorBidi" w:cstheme="majorBidi"/>
        </w:rPr>
      </w:pPr>
      <w:r>
        <w:rPr>
          <w:rFonts w:asciiTheme="majorBidi" w:hAnsiTheme="majorBidi" w:cstheme="majorBidi"/>
        </w:rPr>
        <w:t>Disparities in policy and regulatory frameworks across Partner States evidenced by uneven alignment of national legal and policy frameworks with regional higher education frameworks.</w:t>
      </w:r>
    </w:p>
    <w:p w14:paraId="2A5E1462">
      <w:pPr>
        <w:numPr>
          <w:ilvl w:val="1"/>
          <w:numId w:val="4"/>
        </w:numPr>
        <w:jc w:val="both"/>
        <w:rPr>
          <w:rFonts w:asciiTheme="majorBidi" w:hAnsiTheme="majorBidi" w:cstheme="majorBidi"/>
        </w:rPr>
      </w:pPr>
      <w:r>
        <w:rPr>
          <w:rFonts w:asciiTheme="majorBidi" w:hAnsiTheme="majorBidi" w:cstheme="majorBidi"/>
        </w:rPr>
        <w:t>Limited financing for higher education and research, constraining institutional capacity and innovation, system enhancement and the full implementation of the EACHEA.</w:t>
      </w:r>
    </w:p>
    <w:p w14:paraId="7640CD70">
      <w:pPr>
        <w:numPr>
          <w:ilvl w:val="1"/>
          <w:numId w:val="4"/>
        </w:numPr>
        <w:jc w:val="both"/>
        <w:rPr>
          <w:rFonts w:asciiTheme="majorBidi" w:hAnsiTheme="majorBidi" w:cstheme="majorBidi"/>
        </w:rPr>
      </w:pPr>
      <w:r>
        <w:rPr>
          <w:rFonts w:asciiTheme="majorBidi" w:hAnsiTheme="majorBidi" w:cstheme="majorBidi"/>
        </w:rPr>
        <w:t>Limited infrastructure for modern teaching, research, and innovation, especially in science, technology, engineering, and mathematics (STEM) fields.</w:t>
      </w:r>
    </w:p>
    <w:p w14:paraId="02B147C0">
      <w:pPr>
        <w:numPr>
          <w:ilvl w:val="1"/>
          <w:numId w:val="4"/>
        </w:numPr>
        <w:jc w:val="both"/>
        <w:rPr>
          <w:rFonts w:asciiTheme="majorBidi" w:hAnsiTheme="majorBidi" w:cstheme="majorBidi"/>
        </w:rPr>
      </w:pPr>
      <w:r>
        <w:rPr>
          <w:rFonts w:asciiTheme="majorBidi" w:hAnsiTheme="majorBidi" w:cstheme="majorBidi"/>
        </w:rPr>
        <w:t>Limited digital connectivity and integration of technology in teaching and learning and the management of higher education institutions.</w:t>
      </w:r>
    </w:p>
    <w:p w14:paraId="661A468C">
      <w:pPr>
        <w:numPr>
          <w:ilvl w:val="1"/>
          <w:numId w:val="4"/>
        </w:numPr>
        <w:jc w:val="both"/>
        <w:rPr>
          <w:rFonts w:asciiTheme="majorBidi" w:hAnsiTheme="majorBidi" w:cstheme="majorBidi"/>
        </w:rPr>
      </w:pPr>
      <w:r>
        <w:rPr>
          <w:rFonts w:asciiTheme="majorBidi" w:hAnsiTheme="majorBidi" w:cstheme="majorBidi"/>
        </w:rPr>
        <w:t>Disparities in the adoption of mutual recognition arrangements for academic and professional qualifications.</w:t>
      </w:r>
    </w:p>
    <w:p w14:paraId="7F1AF5C3">
      <w:pPr>
        <w:numPr>
          <w:ilvl w:val="1"/>
          <w:numId w:val="4"/>
        </w:numPr>
        <w:jc w:val="both"/>
        <w:rPr>
          <w:rFonts w:asciiTheme="majorBidi" w:hAnsiTheme="majorBidi" w:cstheme="majorBidi"/>
        </w:rPr>
      </w:pPr>
      <w:r>
        <w:rPr>
          <w:rFonts w:asciiTheme="majorBidi" w:hAnsiTheme="majorBidi" w:cstheme="majorBidi"/>
        </w:rPr>
        <w:t>Suboptimal intra-EAC academic mobility occasioned by, among other things, underfunding and limited enforcement of the directive of Council of Ministers of charging the same fees for students coming from other EAC Partners States as locals and that the fees are charged in local currency.</w:t>
      </w:r>
      <w:bookmarkStart w:id="0" w:name="_Hlk208420337"/>
    </w:p>
    <w:p w14:paraId="13B71CDD">
      <w:pPr>
        <w:numPr>
          <w:ilvl w:val="1"/>
          <w:numId w:val="4"/>
        </w:numPr>
        <w:jc w:val="both"/>
        <w:rPr>
          <w:rFonts w:asciiTheme="majorBidi" w:hAnsiTheme="majorBidi" w:cstheme="majorBidi"/>
        </w:rPr>
      </w:pPr>
      <w:r>
        <w:rPr>
          <w:rFonts w:asciiTheme="majorBidi" w:hAnsiTheme="majorBidi" w:cstheme="majorBidi"/>
        </w:rPr>
        <w:t>Existence of visa fee charged on students and other professionals from another partner state thus affecting student and labour mobility.</w:t>
      </w:r>
    </w:p>
    <w:bookmarkEnd w:id="0"/>
    <w:p w14:paraId="489FDA07">
      <w:pPr>
        <w:numPr>
          <w:ilvl w:val="0"/>
          <w:numId w:val="3"/>
        </w:numPr>
        <w:jc w:val="both"/>
        <w:rPr>
          <w:rFonts w:asciiTheme="majorBidi" w:hAnsiTheme="majorBidi" w:cstheme="majorBidi"/>
        </w:rPr>
      </w:pPr>
      <w:r>
        <w:rPr>
          <w:rFonts w:asciiTheme="majorBidi" w:hAnsiTheme="majorBidi" w:cstheme="majorBidi"/>
        </w:rPr>
        <w:t xml:space="preserve">The need to strengthen the linkages between higher education systems and other regional development priorities under the </w:t>
      </w:r>
      <w:r>
        <w:rPr>
          <w:rFonts w:asciiTheme="majorBidi" w:hAnsiTheme="majorBidi" w:cstheme="majorBidi"/>
          <w:i/>
          <w:iCs/>
        </w:rPr>
        <w:t>EAC Vision 2050</w:t>
      </w:r>
      <w:r>
        <w:rPr>
          <w:rFonts w:asciiTheme="majorBidi" w:hAnsiTheme="majorBidi" w:cstheme="majorBidi"/>
        </w:rPr>
        <w:t xml:space="preserve">, the </w:t>
      </w:r>
      <w:r>
        <w:rPr>
          <w:rFonts w:asciiTheme="majorBidi" w:hAnsiTheme="majorBidi" w:cstheme="majorBidi"/>
          <w:i/>
          <w:iCs/>
        </w:rPr>
        <w:t>African Union’s Agenda 2063</w:t>
      </w:r>
      <w:r>
        <w:rPr>
          <w:rFonts w:asciiTheme="majorBidi" w:hAnsiTheme="majorBidi" w:cstheme="majorBidi"/>
        </w:rPr>
        <w:t xml:space="preserve">, and the </w:t>
      </w:r>
      <w:r>
        <w:rPr>
          <w:rFonts w:asciiTheme="majorBidi" w:hAnsiTheme="majorBidi" w:cstheme="majorBidi"/>
          <w:i/>
          <w:iCs/>
        </w:rPr>
        <w:t>UN Sustainable Development Goals (SDGs).</w:t>
      </w:r>
    </w:p>
    <w:p w14:paraId="377C0F51">
      <w:pPr>
        <w:numPr>
          <w:ilvl w:val="0"/>
          <w:numId w:val="3"/>
        </w:numPr>
        <w:jc w:val="both"/>
        <w:rPr>
          <w:rFonts w:asciiTheme="majorBidi" w:hAnsiTheme="majorBidi" w:cstheme="majorBidi"/>
        </w:rPr>
      </w:pPr>
      <w:r>
        <w:rPr>
          <w:rFonts w:asciiTheme="majorBidi" w:hAnsiTheme="majorBidi" w:cstheme="majorBidi"/>
        </w:rPr>
        <w:t>The essential support of development partners, the private sector, and international education agencies in capacity building, infrastructure development, and policy harmonisation.</w:t>
      </w:r>
    </w:p>
    <w:p w14:paraId="0019FF0E">
      <w:pPr>
        <w:jc w:val="both"/>
        <w:rPr>
          <w:rFonts w:asciiTheme="majorBidi" w:hAnsiTheme="majorBidi" w:cstheme="majorBidi"/>
          <w:b/>
          <w:bCs/>
        </w:rPr>
      </w:pPr>
      <w:r>
        <w:rPr>
          <w:rFonts w:asciiTheme="majorBidi" w:hAnsiTheme="majorBidi" w:cstheme="majorBidi"/>
          <w:b/>
          <w:bCs/>
        </w:rPr>
        <w:t>Deliberations</w:t>
      </w:r>
    </w:p>
    <w:p w14:paraId="005A5CFC">
      <w:pPr>
        <w:jc w:val="both"/>
        <w:rPr>
          <w:rFonts w:asciiTheme="majorBidi" w:hAnsiTheme="majorBidi" w:cstheme="majorBidi"/>
        </w:rPr>
      </w:pPr>
      <w:r>
        <w:rPr>
          <w:rFonts w:asciiTheme="majorBidi" w:hAnsiTheme="majorBidi" w:cstheme="majorBidi"/>
        </w:rPr>
        <w:t>The Ministers considered reports and recommendations from technical sessions addressing:</w:t>
      </w:r>
    </w:p>
    <w:p w14:paraId="25ADD910">
      <w:pPr>
        <w:numPr>
          <w:ilvl w:val="0"/>
          <w:numId w:val="5"/>
        </w:numPr>
        <w:jc w:val="both"/>
        <w:rPr>
          <w:rFonts w:asciiTheme="majorBidi" w:hAnsiTheme="majorBidi" w:cstheme="majorBidi"/>
        </w:rPr>
      </w:pPr>
      <w:r>
        <w:rPr>
          <w:rFonts w:asciiTheme="majorBidi" w:hAnsiTheme="majorBidi" w:cstheme="majorBidi"/>
        </w:rPr>
        <w:t>The current status and gaps in the operationalisation of the EACHEA and the extent of compliance with regional higher education frameworks.</w:t>
      </w:r>
    </w:p>
    <w:p w14:paraId="196CEE6E">
      <w:pPr>
        <w:numPr>
          <w:ilvl w:val="0"/>
          <w:numId w:val="5"/>
        </w:numPr>
        <w:jc w:val="both"/>
        <w:rPr>
          <w:rFonts w:asciiTheme="majorBidi" w:hAnsiTheme="majorBidi" w:cstheme="majorBidi"/>
        </w:rPr>
      </w:pPr>
      <w:r>
        <w:rPr>
          <w:rFonts w:asciiTheme="majorBidi" w:hAnsiTheme="majorBidi" w:cstheme="majorBidi"/>
        </w:rPr>
        <w:t>Legislative, policy, and regulatory reforms required to align national higher education systems with the EAC regional frameworks.</w:t>
      </w:r>
    </w:p>
    <w:p w14:paraId="0303A58E">
      <w:pPr>
        <w:numPr>
          <w:ilvl w:val="0"/>
          <w:numId w:val="5"/>
        </w:numPr>
        <w:jc w:val="both"/>
        <w:rPr>
          <w:rFonts w:asciiTheme="majorBidi" w:hAnsiTheme="majorBidi" w:cstheme="majorBidi"/>
        </w:rPr>
      </w:pPr>
      <w:r>
        <w:rPr>
          <w:rFonts w:asciiTheme="majorBidi" w:hAnsiTheme="majorBidi" w:cstheme="majorBidi"/>
        </w:rPr>
        <w:t xml:space="preserve">Strengthening the </w:t>
      </w:r>
      <w:r>
        <w:rPr>
          <w:rFonts w:asciiTheme="majorBidi" w:hAnsiTheme="majorBidi" w:cstheme="majorBidi"/>
          <w:i/>
          <w:iCs/>
        </w:rPr>
        <w:t>EAQFHE</w:t>
      </w:r>
      <w:r>
        <w:rPr>
          <w:rFonts w:asciiTheme="majorBidi" w:hAnsiTheme="majorBidi" w:cstheme="majorBidi"/>
        </w:rPr>
        <w:t xml:space="preserve"> to ensure comparability, transparency, credibility and portability of qualifications across the region.</w:t>
      </w:r>
    </w:p>
    <w:p w14:paraId="3DF2DB2A">
      <w:pPr>
        <w:numPr>
          <w:ilvl w:val="0"/>
          <w:numId w:val="5"/>
        </w:numPr>
        <w:jc w:val="both"/>
        <w:rPr>
          <w:rFonts w:asciiTheme="majorBidi" w:hAnsiTheme="majorBidi" w:cstheme="majorBidi"/>
        </w:rPr>
      </w:pPr>
      <w:r>
        <w:rPr>
          <w:rFonts w:asciiTheme="majorBidi" w:hAnsiTheme="majorBidi" w:cstheme="majorBidi"/>
        </w:rPr>
        <w:t xml:space="preserve">Enhancing the </w:t>
      </w:r>
      <w:r>
        <w:rPr>
          <w:rFonts w:asciiTheme="majorBidi" w:hAnsiTheme="majorBidi" w:cstheme="majorBidi"/>
          <w:i/>
          <w:iCs/>
        </w:rPr>
        <w:t xml:space="preserve">RQAF </w:t>
      </w:r>
      <w:r>
        <w:rPr>
          <w:rFonts w:asciiTheme="majorBidi" w:hAnsiTheme="majorBidi" w:cstheme="majorBidi"/>
        </w:rPr>
        <w:t>to ensure robust and consistent quality standards in all Partner States.</w:t>
      </w:r>
    </w:p>
    <w:p w14:paraId="28CEC0A7">
      <w:pPr>
        <w:numPr>
          <w:ilvl w:val="0"/>
          <w:numId w:val="5"/>
        </w:numPr>
        <w:jc w:val="both"/>
        <w:rPr>
          <w:rFonts w:asciiTheme="majorBidi" w:hAnsiTheme="majorBidi" w:cstheme="majorBidi"/>
        </w:rPr>
      </w:pPr>
      <w:r>
        <w:rPr>
          <w:rFonts w:asciiTheme="majorBidi" w:hAnsiTheme="majorBidi" w:cstheme="majorBidi"/>
        </w:rPr>
        <w:t>Strategies to expand academic and professional mobility through harmonised admissions criteria, joint degree programmes, innovative student and staff mobility schemes and the mutual recognition of qualifications.</w:t>
      </w:r>
    </w:p>
    <w:p w14:paraId="534EE28B">
      <w:pPr>
        <w:numPr>
          <w:ilvl w:val="0"/>
          <w:numId w:val="5"/>
        </w:numPr>
        <w:jc w:val="both"/>
        <w:rPr>
          <w:rFonts w:asciiTheme="majorBidi" w:hAnsiTheme="majorBidi" w:cstheme="majorBidi"/>
        </w:rPr>
      </w:pPr>
      <w:r>
        <w:rPr>
          <w:rFonts w:asciiTheme="majorBidi" w:hAnsiTheme="majorBidi" w:cstheme="majorBidi"/>
        </w:rPr>
        <w:t>Accelerating digitalisation of higher education, including virtual exchange programmes, online learning platforms, and open educational resources by leveraging existing and emerging digital technologies to promote open and distance learning and increase higher education access while paying attention to the need to harmonize the regulation of digital tools and use of AI in teaching, learning and research.</w:t>
      </w:r>
    </w:p>
    <w:p w14:paraId="2F648F40">
      <w:pPr>
        <w:numPr>
          <w:ilvl w:val="0"/>
          <w:numId w:val="5"/>
        </w:numPr>
        <w:jc w:val="both"/>
        <w:rPr>
          <w:rFonts w:asciiTheme="majorBidi" w:hAnsiTheme="majorBidi" w:cstheme="majorBidi"/>
        </w:rPr>
      </w:pPr>
      <w:r>
        <w:rPr>
          <w:rFonts w:asciiTheme="majorBidi" w:hAnsiTheme="majorBidi" w:cstheme="majorBidi"/>
        </w:rPr>
        <w:t>Addressing equity in higher education, ensuring access for marginalised groups, and promoting gender equality.</w:t>
      </w:r>
    </w:p>
    <w:p w14:paraId="0140BA8E">
      <w:pPr>
        <w:numPr>
          <w:ilvl w:val="0"/>
          <w:numId w:val="5"/>
        </w:numPr>
        <w:jc w:val="both"/>
        <w:rPr>
          <w:rFonts w:asciiTheme="majorBidi" w:hAnsiTheme="majorBidi" w:cstheme="majorBidi"/>
        </w:rPr>
      </w:pPr>
      <w:r>
        <w:rPr>
          <w:rFonts w:asciiTheme="majorBidi" w:hAnsiTheme="majorBidi" w:cstheme="majorBidi"/>
        </w:rPr>
        <w:t>Designing sustainable financing models including dedicated regional funds, public-private partnerships, and innovative resource mobilisation approaches and financing a Regional Students Mobility Fund to deepen academic mobility and regional integration.</w:t>
      </w:r>
    </w:p>
    <w:p w14:paraId="0173B915">
      <w:pPr>
        <w:jc w:val="both"/>
        <w:rPr>
          <w:rFonts w:asciiTheme="majorBidi" w:hAnsiTheme="majorBidi" w:cstheme="majorBidi"/>
          <w:b/>
          <w:bCs/>
        </w:rPr>
      </w:pPr>
      <w:r>
        <w:rPr>
          <w:rFonts w:asciiTheme="majorBidi" w:hAnsiTheme="majorBidi" w:cstheme="majorBidi"/>
          <w:b/>
          <w:bCs/>
        </w:rPr>
        <w:t>Resolutions and Commitments</w:t>
      </w:r>
    </w:p>
    <w:p w14:paraId="4F8FFF88">
      <w:pPr>
        <w:jc w:val="both"/>
        <w:rPr>
          <w:rFonts w:asciiTheme="majorBidi" w:hAnsiTheme="majorBidi" w:cstheme="majorBidi"/>
        </w:rPr>
      </w:pPr>
      <w:r>
        <w:rPr>
          <w:rFonts w:asciiTheme="majorBidi" w:hAnsiTheme="majorBidi" w:cstheme="majorBidi"/>
        </w:rPr>
        <w:t>We, the Ministers, hereby:</w:t>
      </w:r>
    </w:p>
    <w:p w14:paraId="624ADCA2">
      <w:pPr>
        <w:numPr>
          <w:ilvl w:val="0"/>
          <w:numId w:val="6"/>
        </w:numPr>
        <w:jc w:val="both"/>
        <w:rPr>
          <w:rFonts w:asciiTheme="majorBidi" w:hAnsiTheme="majorBidi" w:cstheme="majorBidi"/>
        </w:rPr>
      </w:pPr>
      <w:r>
        <w:rPr>
          <w:rFonts w:asciiTheme="majorBidi" w:hAnsiTheme="majorBidi" w:cstheme="majorBidi"/>
          <w:b/>
          <w:bCs/>
        </w:rPr>
        <w:t>Reaffirm</w:t>
      </w:r>
      <w:r>
        <w:rPr>
          <w:rFonts w:asciiTheme="majorBidi" w:hAnsiTheme="majorBidi" w:cstheme="majorBidi"/>
        </w:rPr>
        <w:t xml:space="preserve"> our unwavering commitment to the full operationalisation of the EACHEA as a mechanism to strengthen academic excellence, facilitate knowledge mobility, and serve as an engine for deepening regional integration, socio-economic transformation, and global competitiveness of the EAC region. </w:t>
      </w:r>
    </w:p>
    <w:p w14:paraId="6FE1C7F3">
      <w:pPr>
        <w:numPr>
          <w:ilvl w:val="0"/>
          <w:numId w:val="6"/>
        </w:numPr>
        <w:jc w:val="both"/>
        <w:rPr>
          <w:rFonts w:asciiTheme="majorBidi" w:hAnsiTheme="majorBidi" w:cstheme="majorBidi"/>
        </w:rPr>
      </w:pPr>
      <w:r>
        <w:rPr>
          <w:rFonts w:asciiTheme="majorBidi" w:hAnsiTheme="majorBidi" w:cstheme="majorBidi"/>
          <w:b/>
          <w:bCs/>
        </w:rPr>
        <w:t xml:space="preserve">Resolve </w:t>
      </w:r>
      <w:r>
        <w:rPr>
          <w:rFonts w:asciiTheme="majorBidi" w:hAnsiTheme="majorBidi" w:cstheme="majorBidi"/>
        </w:rPr>
        <w:t>to align the respective national higher education systems with the regional higher education framework requirements, without imposing uniformity.</w:t>
      </w:r>
    </w:p>
    <w:p w14:paraId="54CF517F">
      <w:pPr>
        <w:numPr>
          <w:ilvl w:val="0"/>
          <w:numId w:val="6"/>
        </w:numPr>
        <w:jc w:val="both"/>
        <w:rPr>
          <w:rFonts w:asciiTheme="majorBidi" w:hAnsiTheme="majorBidi" w:cstheme="majorBidi"/>
        </w:rPr>
      </w:pPr>
      <w:r>
        <w:rPr>
          <w:rFonts w:asciiTheme="majorBidi" w:hAnsiTheme="majorBidi" w:cstheme="majorBidi"/>
          <w:b/>
          <w:bCs/>
        </w:rPr>
        <w:t>Commit</w:t>
      </w:r>
      <w:r>
        <w:rPr>
          <w:rFonts w:asciiTheme="majorBidi" w:hAnsiTheme="majorBidi" w:cstheme="majorBidi"/>
        </w:rPr>
        <w:t xml:space="preserve"> to enhancing mutual recognition of academic and professional qualifications through development of relevant </w:t>
      </w:r>
      <w:r>
        <w:rPr>
          <w:rFonts w:asciiTheme="majorBidi" w:hAnsiTheme="majorBidi" w:cstheme="majorBidi"/>
          <w:i/>
          <w:iCs/>
          <w:lang w:val="en-US"/>
        </w:rPr>
        <w:t>Regional Frameworks for Mutual Recognition of Academic and Professional Qualifications</w:t>
      </w:r>
      <w:r>
        <w:rPr>
          <w:rFonts w:asciiTheme="majorBidi" w:hAnsiTheme="majorBidi" w:cstheme="majorBidi"/>
        </w:rPr>
        <w:t xml:space="preserve"> to promote seamless mobility of students, staff, and professionals across the region in line with the EAC Common Market Protocol - by </w:t>
      </w:r>
      <w:r>
        <w:rPr>
          <w:rFonts w:asciiTheme="majorBidi" w:hAnsiTheme="majorBidi" w:cstheme="majorBidi"/>
          <w:b/>
          <w:bCs/>
        </w:rPr>
        <w:t>2027</w:t>
      </w:r>
      <w:r>
        <w:rPr>
          <w:rFonts w:asciiTheme="majorBidi" w:hAnsiTheme="majorBidi" w:cstheme="majorBidi"/>
        </w:rPr>
        <w:t>.</w:t>
      </w:r>
    </w:p>
    <w:p w14:paraId="6CFF26D7">
      <w:pPr>
        <w:numPr>
          <w:ilvl w:val="0"/>
          <w:numId w:val="6"/>
        </w:numPr>
        <w:jc w:val="both"/>
        <w:rPr>
          <w:rFonts w:asciiTheme="majorBidi" w:hAnsiTheme="majorBidi" w:cstheme="majorBidi"/>
        </w:rPr>
      </w:pPr>
      <w:r>
        <w:rPr>
          <w:rFonts w:asciiTheme="majorBidi" w:hAnsiTheme="majorBidi" w:cstheme="majorBidi"/>
          <w:b/>
          <w:bCs/>
        </w:rPr>
        <w:t>Resolve</w:t>
      </w:r>
      <w:r>
        <w:rPr>
          <w:rFonts w:asciiTheme="majorBidi" w:hAnsiTheme="majorBidi" w:cstheme="majorBidi"/>
        </w:rPr>
        <w:t xml:space="preserve"> to harmonise national higher education policies, legislation, and regulatory frameworks including accreditation frameworks with the EAC regional instruments - including the EAQFHE, RQAF, EAC-CATS, REFHE-EA — by </w:t>
      </w:r>
      <w:r>
        <w:rPr>
          <w:rFonts w:asciiTheme="majorBidi" w:hAnsiTheme="majorBidi" w:cstheme="majorBidi"/>
          <w:b/>
          <w:bCs/>
        </w:rPr>
        <w:t>2030</w:t>
      </w:r>
      <w:r>
        <w:rPr>
          <w:rFonts w:asciiTheme="majorBidi" w:hAnsiTheme="majorBidi" w:cstheme="majorBidi"/>
        </w:rPr>
        <w:t>.</w:t>
      </w:r>
    </w:p>
    <w:p w14:paraId="38D4E806">
      <w:pPr>
        <w:numPr>
          <w:ilvl w:val="0"/>
          <w:numId w:val="6"/>
        </w:numPr>
        <w:jc w:val="both"/>
        <w:rPr>
          <w:rFonts w:asciiTheme="majorBidi" w:hAnsiTheme="majorBidi" w:cstheme="majorBidi"/>
        </w:rPr>
      </w:pPr>
      <w:r>
        <w:rPr>
          <w:rFonts w:asciiTheme="majorBidi" w:hAnsiTheme="majorBidi" w:cstheme="majorBidi"/>
          <w:b/>
          <w:bCs/>
        </w:rPr>
        <w:t>Promote</w:t>
      </w:r>
      <w:r>
        <w:rPr>
          <w:rFonts w:asciiTheme="majorBidi" w:hAnsiTheme="majorBidi" w:cstheme="majorBidi"/>
        </w:rPr>
        <w:t xml:space="preserve"> the integration and regulation of digital, open and blended learning systems, including cross-border e-learning platforms and virtual exchange programmes, to widen access, improve quality and learning outcomes, and enhance resilience against disruptions in the delivery of higher education.</w:t>
      </w:r>
    </w:p>
    <w:p w14:paraId="440F183F">
      <w:pPr>
        <w:numPr>
          <w:ilvl w:val="0"/>
          <w:numId w:val="6"/>
        </w:numPr>
        <w:jc w:val="both"/>
        <w:rPr>
          <w:rFonts w:asciiTheme="majorBidi" w:hAnsiTheme="majorBidi" w:cstheme="majorBidi"/>
        </w:rPr>
      </w:pPr>
      <w:r>
        <w:rPr>
          <w:rFonts w:asciiTheme="majorBidi" w:hAnsiTheme="majorBidi" w:cstheme="majorBidi"/>
          <w:b/>
          <w:bCs/>
        </w:rPr>
        <w:t>Mobilise</w:t>
      </w:r>
      <w:r>
        <w:rPr>
          <w:rFonts w:asciiTheme="majorBidi" w:hAnsiTheme="majorBidi" w:cstheme="majorBidi"/>
        </w:rPr>
        <w:t xml:space="preserve"> sustainable financing for higher education through national and regional resource pooling mechanisms, development cooperation, commercialization of research and private sector engagement.</w:t>
      </w:r>
    </w:p>
    <w:p w14:paraId="6757366F">
      <w:pPr>
        <w:numPr>
          <w:ilvl w:val="0"/>
          <w:numId w:val="6"/>
        </w:numPr>
        <w:jc w:val="both"/>
        <w:rPr>
          <w:rFonts w:asciiTheme="majorBidi" w:hAnsiTheme="majorBidi" w:cstheme="majorBidi"/>
        </w:rPr>
      </w:pPr>
      <w:r>
        <w:rPr>
          <w:rFonts w:asciiTheme="majorBidi" w:hAnsiTheme="majorBidi" w:cstheme="majorBidi"/>
          <w:b/>
          <w:bCs/>
        </w:rPr>
        <w:t xml:space="preserve">Implore </w:t>
      </w:r>
      <w:r>
        <w:rPr>
          <w:rFonts w:asciiTheme="majorBidi" w:hAnsiTheme="majorBidi" w:cstheme="majorBidi"/>
        </w:rPr>
        <w:t>the IUCEA to work with the Commissions and Councils for Higher Education to develop</w:t>
      </w:r>
      <w:r>
        <w:rPr>
          <w:rFonts w:asciiTheme="majorBidi" w:hAnsiTheme="majorBidi" w:cstheme="majorBidi"/>
          <w:b/>
          <w:bCs/>
        </w:rPr>
        <w:t xml:space="preserve"> </w:t>
      </w:r>
      <w:r>
        <w:rPr>
          <w:rFonts w:asciiTheme="majorBidi" w:hAnsiTheme="majorBidi" w:cstheme="majorBidi"/>
        </w:rPr>
        <w:t xml:space="preserve">mechanisms to monitor and report on alignment of institutional frameworks with regional frameworks. </w:t>
      </w:r>
    </w:p>
    <w:p w14:paraId="14AE6B21">
      <w:pPr>
        <w:jc w:val="both"/>
        <w:rPr>
          <w:rFonts w:asciiTheme="majorBidi" w:hAnsiTheme="majorBidi" w:cstheme="majorBidi"/>
          <w:b/>
          <w:bCs/>
        </w:rPr>
      </w:pPr>
      <w:r>
        <w:rPr>
          <w:rFonts w:asciiTheme="majorBidi" w:hAnsiTheme="majorBidi" w:cstheme="majorBidi"/>
          <w:b/>
          <w:bCs/>
        </w:rPr>
        <w:t>Directives to Stakeholders</w:t>
      </w:r>
    </w:p>
    <w:p w14:paraId="02508298">
      <w:pPr>
        <w:pStyle w:val="31"/>
        <w:numPr>
          <w:ilvl w:val="0"/>
          <w:numId w:val="7"/>
        </w:numPr>
        <w:spacing w:after="240"/>
        <w:ind w:left="714" w:hanging="357"/>
        <w:contextualSpacing w:val="0"/>
        <w:jc w:val="both"/>
        <w:rPr>
          <w:rFonts w:asciiTheme="majorBidi" w:hAnsiTheme="majorBidi" w:cstheme="majorBidi"/>
        </w:rPr>
      </w:pPr>
      <w:r>
        <w:rPr>
          <w:rFonts w:asciiTheme="majorBidi" w:hAnsiTheme="majorBidi" w:cstheme="majorBidi"/>
          <w:b/>
          <w:bCs/>
        </w:rPr>
        <w:t>IUCEA</w:t>
      </w:r>
      <w:r>
        <w:rPr>
          <w:rFonts w:asciiTheme="majorBidi" w:hAnsiTheme="majorBidi" w:cstheme="majorBidi"/>
        </w:rPr>
        <w:t xml:space="preserve"> in collaboration with the Forum of CEOs of National Commissions and Councils for higher education, to develop and disseminate detailed guidelines to assist HEIs in integrating EAC regional frameworks into their institutional policies and academic programmes. IUCEA shall report annually to the Sectoral Council for Education, Science, Technology, Culture and Sports on the status of EACHEA implementation.</w:t>
      </w:r>
    </w:p>
    <w:p w14:paraId="2ACDFA27">
      <w:pPr>
        <w:pStyle w:val="31"/>
        <w:numPr>
          <w:ilvl w:val="0"/>
          <w:numId w:val="7"/>
        </w:numPr>
        <w:jc w:val="both"/>
        <w:rPr>
          <w:rFonts w:asciiTheme="majorBidi" w:hAnsiTheme="majorBidi" w:cstheme="majorBidi"/>
        </w:rPr>
      </w:pPr>
      <w:r>
        <w:rPr>
          <w:rFonts w:asciiTheme="majorBidi" w:hAnsiTheme="majorBidi" w:cstheme="majorBidi"/>
          <w:b/>
          <w:bCs/>
        </w:rPr>
        <w:t>IUCEA and the Forum of National Councils and Commissions for Higher Education</w:t>
      </w:r>
      <w:r>
        <w:rPr>
          <w:rFonts w:asciiTheme="majorBidi" w:hAnsiTheme="majorBidi" w:cstheme="majorBidi"/>
        </w:rPr>
        <w:t xml:space="preserve"> to fast-track the full implementation and periodic review of the EACHEA and to establish and maintain a Regional Database of accredited institutions and programmes, publicly accessible across Partner States.</w:t>
      </w:r>
    </w:p>
    <w:p w14:paraId="3CF3EE59">
      <w:pPr>
        <w:numPr>
          <w:ilvl w:val="0"/>
          <w:numId w:val="7"/>
        </w:numPr>
        <w:jc w:val="both"/>
        <w:rPr>
          <w:rFonts w:asciiTheme="majorBidi" w:hAnsiTheme="majorBidi" w:cstheme="majorBidi"/>
        </w:rPr>
      </w:pPr>
      <w:r>
        <w:rPr>
          <w:rFonts w:asciiTheme="majorBidi" w:hAnsiTheme="majorBidi" w:cstheme="majorBidi"/>
          <w:b/>
          <w:bCs/>
        </w:rPr>
        <w:t xml:space="preserve">IUCEA </w:t>
      </w:r>
      <w:r>
        <w:rPr>
          <w:rFonts w:asciiTheme="majorBidi" w:hAnsiTheme="majorBidi" w:cstheme="majorBidi"/>
        </w:rPr>
        <w:t>in conjunction with the Forum of CEOs of National Councils and Commissions for Higher Education in EAC Partner States to develop proposal for the establishment of a regional mobility fund.</w:t>
      </w:r>
    </w:p>
    <w:p w14:paraId="65AEBE22">
      <w:pPr>
        <w:numPr>
          <w:ilvl w:val="0"/>
          <w:numId w:val="7"/>
        </w:numPr>
        <w:jc w:val="both"/>
        <w:rPr>
          <w:rFonts w:asciiTheme="majorBidi" w:hAnsiTheme="majorBidi" w:cstheme="majorBidi"/>
        </w:rPr>
      </w:pPr>
      <w:r>
        <w:rPr>
          <w:rFonts w:asciiTheme="majorBidi" w:hAnsiTheme="majorBidi" w:cstheme="majorBidi"/>
          <w:b/>
          <w:bCs/>
        </w:rPr>
        <w:t xml:space="preserve">National Councils and Commissions for Higher Education </w:t>
      </w:r>
      <w:r>
        <w:rPr>
          <w:rFonts w:asciiTheme="majorBidi" w:hAnsiTheme="majorBidi" w:cstheme="majorBidi"/>
        </w:rPr>
        <w:t>to designate national focal points to coordinate EACHEA activities, monitor progress, and ensure effective linkages between national and regional structures.</w:t>
      </w:r>
    </w:p>
    <w:p w14:paraId="43449EF1">
      <w:pPr>
        <w:numPr>
          <w:ilvl w:val="0"/>
          <w:numId w:val="7"/>
        </w:numPr>
        <w:jc w:val="both"/>
        <w:rPr>
          <w:rFonts w:asciiTheme="majorBidi" w:hAnsiTheme="majorBidi" w:cstheme="majorBidi"/>
        </w:rPr>
      </w:pPr>
      <w:r>
        <w:rPr>
          <w:rFonts w:asciiTheme="majorBidi" w:hAnsiTheme="majorBidi" w:cstheme="majorBidi"/>
          <w:b/>
          <w:bCs/>
        </w:rPr>
        <w:t xml:space="preserve">National Councils and Commissions for Higher Education </w:t>
      </w:r>
      <w:r>
        <w:rPr>
          <w:rFonts w:asciiTheme="majorBidi" w:hAnsiTheme="majorBidi" w:cstheme="majorBidi"/>
        </w:rPr>
        <w:t>to ensure the full implementation of the Council of Ministers’ directive to charge the same fees for students coming from other EAC Partners States as locals and that the fees are charged in local currency.</w:t>
      </w:r>
    </w:p>
    <w:p w14:paraId="2706D2CC">
      <w:pPr>
        <w:numPr>
          <w:ilvl w:val="0"/>
          <w:numId w:val="7"/>
        </w:numPr>
        <w:jc w:val="both"/>
        <w:rPr>
          <w:rFonts w:asciiTheme="majorBidi" w:hAnsiTheme="majorBidi" w:cstheme="majorBidi"/>
        </w:rPr>
      </w:pPr>
      <w:r>
        <w:rPr>
          <w:rFonts w:asciiTheme="majorBidi" w:hAnsiTheme="majorBidi" w:cstheme="majorBidi"/>
          <w:b/>
          <w:bCs/>
        </w:rPr>
        <w:t xml:space="preserve">National Councils and Commissions for Higher Education </w:t>
      </w:r>
      <w:r>
        <w:rPr>
          <w:rFonts w:asciiTheme="majorBidi" w:hAnsiTheme="majorBidi" w:cstheme="majorBidi"/>
        </w:rPr>
        <w:t>to engage the relevant national authorities to expedite the removal of visa requirement charged on students and other professionals from another EAC Partner States to promote regional mobility.</w:t>
      </w:r>
    </w:p>
    <w:p w14:paraId="7BC1120A">
      <w:pPr>
        <w:numPr>
          <w:ilvl w:val="0"/>
          <w:numId w:val="7"/>
        </w:numPr>
        <w:jc w:val="both"/>
        <w:rPr>
          <w:rFonts w:asciiTheme="majorBidi" w:hAnsiTheme="majorBidi" w:cstheme="majorBidi"/>
        </w:rPr>
      </w:pPr>
      <w:r>
        <w:rPr>
          <w:rFonts w:asciiTheme="majorBidi" w:hAnsiTheme="majorBidi" w:cstheme="majorBidi"/>
          <w:b/>
          <w:bCs/>
        </w:rPr>
        <w:t>National Councils and Commissions for Higher Education</w:t>
      </w:r>
      <w:r>
        <w:rPr>
          <w:rFonts w:asciiTheme="majorBidi" w:hAnsiTheme="majorBidi" w:cstheme="majorBidi"/>
        </w:rPr>
        <w:t xml:space="preserve"> to ensure that Higher Education Institutions oversee institutional alignment of education systems with regional frameworks. </w:t>
      </w:r>
    </w:p>
    <w:p w14:paraId="38DE0BDC">
      <w:pPr>
        <w:numPr>
          <w:ilvl w:val="0"/>
          <w:numId w:val="7"/>
        </w:numPr>
        <w:jc w:val="both"/>
        <w:rPr>
          <w:rFonts w:asciiTheme="majorBidi" w:hAnsiTheme="majorBidi" w:cstheme="majorBidi"/>
        </w:rPr>
      </w:pPr>
      <w:r>
        <w:rPr>
          <w:rFonts w:asciiTheme="majorBidi" w:hAnsiTheme="majorBidi" w:cstheme="majorBidi"/>
          <w:b/>
          <w:bCs/>
        </w:rPr>
        <w:t>Development partners</w:t>
      </w:r>
      <w:r>
        <w:rPr>
          <w:rFonts w:asciiTheme="majorBidi" w:hAnsiTheme="majorBidi" w:cstheme="majorBidi"/>
        </w:rPr>
        <w:t xml:space="preserve"> are encouraged to align their investments in higher education with EAC regional priorities, focusing on capacity building, infrastructure development, digital transformation, and research collaboration.</w:t>
      </w:r>
    </w:p>
    <w:p w14:paraId="0F8A2EB1">
      <w:pPr>
        <w:jc w:val="both"/>
        <w:rPr>
          <w:rFonts w:asciiTheme="majorBidi" w:hAnsiTheme="majorBidi" w:cstheme="majorBidi"/>
          <w:b/>
          <w:bCs/>
        </w:rPr>
      </w:pPr>
      <w:r>
        <w:rPr>
          <w:rFonts w:asciiTheme="majorBidi" w:hAnsiTheme="majorBidi" w:cstheme="majorBidi"/>
          <w:b/>
          <w:bCs/>
        </w:rPr>
        <w:t>Follow-up Mechanism</w:t>
      </w:r>
    </w:p>
    <w:p w14:paraId="4F89DBC9">
      <w:pPr>
        <w:jc w:val="both"/>
        <w:rPr>
          <w:rFonts w:asciiTheme="majorBidi" w:hAnsiTheme="majorBidi" w:cstheme="majorBidi"/>
        </w:rPr>
      </w:pPr>
      <w:r>
        <w:rPr>
          <w:rFonts w:asciiTheme="majorBidi" w:hAnsiTheme="majorBidi" w:cstheme="majorBidi"/>
        </w:rPr>
        <w:t xml:space="preserve">We agree that the </w:t>
      </w:r>
      <w:r>
        <w:rPr>
          <w:rFonts w:asciiTheme="majorBidi" w:hAnsiTheme="majorBidi" w:cstheme="majorBidi"/>
          <w:b/>
          <w:bCs/>
        </w:rPr>
        <w:t>Regional Ministerial Conference on the EACHEA</w:t>
      </w:r>
      <w:r>
        <w:rPr>
          <w:rFonts w:asciiTheme="majorBidi" w:hAnsiTheme="majorBidi" w:cstheme="majorBidi"/>
        </w:rPr>
        <w:t xml:space="preserve"> shall be convened biennially, with national Councils/Commissions for higher education driving the coordination at the national level and IUCEA serving as the Secretariat, to review progress, share best practices, address emerging issues, and adopt new policy directions. </w:t>
      </w:r>
    </w:p>
    <w:p w14:paraId="432DE609">
      <w:pPr>
        <w:jc w:val="both"/>
        <w:rPr>
          <w:rFonts w:asciiTheme="majorBidi" w:hAnsiTheme="majorBidi" w:cstheme="majorBidi"/>
        </w:rPr>
      </w:pPr>
      <w:r>
        <w:rPr>
          <w:rFonts w:asciiTheme="majorBidi" w:hAnsiTheme="majorBidi" w:cstheme="majorBidi"/>
        </w:rPr>
        <w:t xml:space="preserve">The next Ministerial Conference will be hosted by the </w:t>
      </w:r>
      <w:r>
        <w:rPr>
          <w:rFonts w:asciiTheme="majorBidi" w:hAnsiTheme="majorBidi" w:cstheme="majorBidi"/>
          <w:b/>
          <w:bCs/>
        </w:rPr>
        <w:t>Republic of Rwanda</w:t>
      </w:r>
      <w:r>
        <w:rPr>
          <w:rFonts w:asciiTheme="majorBidi" w:hAnsiTheme="majorBidi" w:cstheme="majorBidi"/>
        </w:rPr>
        <w:t xml:space="preserve"> in </w:t>
      </w:r>
      <w:r>
        <w:rPr>
          <w:rFonts w:asciiTheme="majorBidi" w:hAnsiTheme="majorBidi" w:cstheme="majorBidi"/>
          <w:b/>
          <w:bCs/>
        </w:rPr>
        <w:t>2027</w:t>
      </w:r>
      <w:r>
        <w:rPr>
          <w:rFonts w:asciiTheme="majorBidi" w:hAnsiTheme="majorBidi" w:cstheme="majorBidi"/>
        </w:rPr>
        <w:t>.</w:t>
      </w:r>
    </w:p>
    <w:p w14:paraId="47A2F555">
      <w:pPr>
        <w:jc w:val="both"/>
        <w:rPr>
          <w:rFonts w:asciiTheme="majorBidi" w:hAnsiTheme="majorBidi" w:cstheme="majorBidi"/>
          <w:b/>
          <w:bCs/>
        </w:rPr>
      </w:pPr>
      <w:r>
        <w:rPr>
          <w:rFonts w:asciiTheme="majorBidi" w:hAnsiTheme="majorBidi" w:cstheme="majorBidi"/>
          <w:b/>
          <w:bCs/>
        </w:rPr>
        <w:t>Expression of Appreciation</w:t>
      </w:r>
    </w:p>
    <w:p w14:paraId="51AAA820">
      <w:pPr>
        <w:jc w:val="both"/>
        <w:rPr>
          <w:rFonts w:asciiTheme="majorBidi" w:hAnsiTheme="majorBidi" w:cstheme="majorBidi"/>
        </w:rPr>
      </w:pPr>
      <w:r>
        <w:rPr>
          <w:rFonts w:asciiTheme="majorBidi" w:hAnsiTheme="majorBidi" w:cstheme="majorBidi"/>
        </w:rPr>
        <w:t>We express our profound appreciation to the Government and People of the Republic of Uganda for their warm hospitality, and to IUCEA for its leadership in coordinating the organisation of this historic Regional Ministerial Conference on the EACHEA. We acknowledge the great work of the Forum of CEOs of National Councils/Commissions for higher education in the EAC Partner States for the great coordination of this event at the national level. We also recognise the valuable contributions of development partners, the private sector, academia, professional bodies and student bodies whose engagement and expertise continue to shape the future of higher education in the region.</w:t>
      </w:r>
    </w:p>
    <w:p w14:paraId="02982AEA">
      <w:pPr>
        <w:rPr>
          <w:rFonts w:asciiTheme="majorBidi" w:hAnsiTheme="majorBidi" w:cstheme="majorBidi"/>
          <w:b/>
          <w:bCs/>
        </w:rPr>
      </w:pPr>
      <w:r>
        <w:rPr>
          <w:rFonts w:asciiTheme="majorBidi" w:hAnsiTheme="majorBidi" w:cstheme="majorBidi"/>
          <w:b/>
          <w:bCs/>
        </w:rPr>
        <w:br w:type="page"/>
      </w:r>
    </w:p>
    <w:p w14:paraId="074D1A67">
      <w:pPr>
        <w:jc w:val="both"/>
        <w:rPr>
          <w:rFonts w:asciiTheme="majorBidi" w:hAnsiTheme="majorBidi" w:cstheme="majorBidi"/>
          <w:b/>
          <w:bCs/>
        </w:rPr>
      </w:pPr>
      <w:r>
        <w:rPr>
          <w:rFonts w:asciiTheme="majorBidi" w:hAnsiTheme="majorBidi" w:cstheme="majorBidi"/>
          <w:b/>
          <w:bCs/>
        </w:rPr>
        <w:t>Adoption</w:t>
      </w:r>
    </w:p>
    <w:p w14:paraId="33FA8E9A">
      <w:pPr>
        <w:jc w:val="both"/>
        <w:rPr>
          <w:rFonts w:asciiTheme="majorBidi" w:hAnsiTheme="majorBidi" w:cstheme="majorBidi"/>
        </w:rPr>
      </w:pPr>
      <w:r>
        <w:rPr>
          <w:rFonts w:asciiTheme="majorBidi" w:hAnsiTheme="majorBidi" w:cstheme="majorBidi"/>
        </w:rPr>
        <w:t>Adopted in Kampala, The Republic of Uganda, this 11</w:t>
      </w:r>
      <w:r>
        <w:rPr>
          <w:rFonts w:asciiTheme="majorBidi" w:hAnsiTheme="majorBidi" w:cstheme="majorBidi"/>
          <w:vertAlign w:val="superscript"/>
        </w:rPr>
        <w:t>th</w:t>
      </w:r>
      <w:r>
        <w:rPr>
          <w:rFonts w:asciiTheme="majorBidi" w:hAnsiTheme="majorBidi" w:cstheme="majorBidi"/>
        </w:rPr>
        <w:t xml:space="preserve"> day of September 2025, by the Ministers responsible for Higher Education in the East African Community Partner States.</w:t>
      </w:r>
    </w:p>
    <w:p w14:paraId="065E9A42">
      <w:pPr>
        <w:jc w:val="both"/>
        <w:rPr>
          <w:rFonts w:asciiTheme="majorBidi" w:hAnsiTheme="majorBidi" w:cstheme="majorBidi"/>
        </w:rPr>
      </w:pPr>
      <w:r>
        <w:rPr>
          <w:rFonts w:asciiTheme="majorBidi" w:hAnsiTheme="majorBidi" w:cstheme="majorBidi"/>
          <w:b/>
          <w:bCs/>
        </w:rPr>
        <w:t>Signatures:</w:t>
      </w:r>
    </w:p>
    <w:tbl>
      <w:tblPr>
        <w:tblStyle w:val="36"/>
        <w:tblW w:w="9067"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397"/>
        <w:gridCol w:w="1134"/>
        <w:gridCol w:w="1985"/>
        <w:gridCol w:w="2551"/>
      </w:tblGrid>
      <w:tr w14:paraId="33E2A89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397" w:type="dxa"/>
          </w:tcPr>
          <w:p w14:paraId="7650948A">
            <w:pPr>
              <w:spacing w:after="0" w:line="240" w:lineRule="auto"/>
              <w:jc w:val="both"/>
              <w:rPr>
                <w:rFonts w:asciiTheme="majorBidi" w:hAnsiTheme="majorBidi" w:cstheme="majorBidi"/>
                <w:b/>
                <w:bCs/>
              </w:rPr>
            </w:pPr>
            <w:r>
              <w:rPr>
                <w:rFonts w:asciiTheme="majorBidi" w:hAnsiTheme="majorBidi" w:cstheme="majorBidi"/>
                <w:b/>
                <w:bCs/>
              </w:rPr>
              <w:t>Name &amp; Title</w:t>
            </w:r>
          </w:p>
        </w:tc>
        <w:tc>
          <w:tcPr>
            <w:tcW w:w="1134" w:type="dxa"/>
          </w:tcPr>
          <w:p w14:paraId="28F36297">
            <w:pPr>
              <w:spacing w:after="0" w:line="240" w:lineRule="auto"/>
              <w:jc w:val="both"/>
              <w:rPr>
                <w:rFonts w:asciiTheme="majorBidi" w:hAnsiTheme="majorBidi" w:cstheme="majorBidi"/>
                <w:b/>
                <w:bCs/>
              </w:rPr>
            </w:pPr>
            <w:r>
              <w:rPr>
                <w:rFonts w:asciiTheme="majorBidi" w:hAnsiTheme="majorBidi" w:cstheme="majorBidi"/>
                <w:b/>
                <w:bCs/>
              </w:rPr>
              <w:t>Flag</w:t>
            </w:r>
          </w:p>
        </w:tc>
        <w:tc>
          <w:tcPr>
            <w:tcW w:w="1985" w:type="dxa"/>
          </w:tcPr>
          <w:p w14:paraId="0C5F65AD">
            <w:pPr>
              <w:spacing w:after="0" w:line="240" w:lineRule="auto"/>
              <w:jc w:val="both"/>
              <w:rPr>
                <w:rFonts w:asciiTheme="majorBidi" w:hAnsiTheme="majorBidi" w:cstheme="majorBidi"/>
                <w:b/>
                <w:bCs/>
              </w:rPr>
            </w:pPr>
            <w:r>
              <w:rPr>
                <w:rFonts w:asciiTheme="majorBidi" w:hAnsiTheme="majorBidi" w:cstheme="majorBidi"/>
                <w:b/>
                <w:bCs/>
              </w:rPr>
              <w:t>Country</w:t>
            </w:r>
          </w:p>
        </w:tc>
        <w:tc>
          <w:tcPr>
            <w:tcW w:w="2551" w:type="dxa"/>
          </w:tcPr>
          <w:p w14:paraId="42CC54EC">
            <w:pPr>
              <w:spacing w:after="0" w:line="240" w:lineRule="auto"/>
              <w:jc w:val="both"/>
              <w:rPr>
                <w:rFonts w:asciiTheme="majorBidi" w:hAnsiTheme="majorBidi" w:cstheme="majorBidi"/>
                <w:b/>
                <w:bCs/>
              </w:rPr>
            </w:pPr>
            <w:r>
              <w:rPr>
                <w:rFonts w:asciiTheme="majorBidi" w:hAnsiTheme="majorBidi" w:cstheme="majorBidi"/>
                <w:b/>
                <w:bCs/>
              </w:rPr>
              <w:t>Signature</w:t>
            </w:r>
          </w:p>
        </w:tc>
      </w:tr>
      <w:tr w14:paraId="2CD2BE5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57" w:hRule="atLeast"/>
        </w:trPr>
        <w:tc>
          <w:tcPr>
            <w:tcW w:w="3397" w:type="dxa"/>
          </w:tcPr>
          <w:p w14:paraId="4DC20E14">
            <w:pPr>
              <w:spacing w:after="0" w:line="240" w:lineRule="auto"/>
              <w:jc w:val="both"/>
              <w:rPr>
                <w:rFonts w:asciiTheme="majorBidi" w:hAnsiTheme="majorBidi" w:cstheme="majorBidi"/>
                <w:b/>
                <w:bCs/>
              </w:rPr>
            </w:pPr>
            <w:r>
              <w:rPr>
                <w:rFonts w:asciiTheme="majorBidi" w:hAnsiTheme="majorBidi" w:cstheme="majorBidi"/>
                <w:b/>
                <w:bCs/>
              </w:rPr>
              <w:t>H.E. Prof. François Havyarimana,</w:t>
            </w:r>
          </w:p>
          <w:p w14:paraId="196B88CC">
            <w:pPr>
              <w:spacing w:after="0" w:line="240" w:lineRule="auto"/>
              <w:jc w:val="both"/>
              <w:rPr>
                <w:rFonts w:asciiTheme="majorBidi" w:hAnsiTheme="majorBidi" w:cstheme="majorBidi"/>
              </w:rPr>
            </w:pPr>
            <w:r>
              <w:rPr>
                <w:rFonts w:asciiTheme="majorBidi" w:hAnsiTheme="majorBidi" w:cstheme="majorBidi"/>
              </w:rPr>
              <w:t>Minister of National Education and Scientific Research</w:t>
            </w:r>
          </w:p>
        </w:tc>
        <w:tc>
          <w:tcPr>
            <w:tcW w:w="1134" w:type="dxa"/>
          </w:tcPr>
          <w:p w14:paraId="67C5A7AF">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585470" cy="359410"/>
                  <wp:effectExtent l="0" t="0" r="5080" b="2540"/>
                  <wp:docPr id="1925291850" name="Picture 11" descr="A red white and green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91850" name="Picture 11" descr="A red white and green fla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5470" cy="359410"/>
                          </a:xfrm>
                          <a:prstGeom prst="rect">
                            <a:avLst/>
                          </a:prstGeom>
                          <a:noFill/>
                        </pic:spPr>
                      </pic:pic>
                    </a:graphicData>
                  </a:graphic>
                </wp:inline>
              </w:drawing>
            </w:r>
          </w:p>
        </w:tc>
        <w:tc>
          <w:tcPr>
            <w:tcW w:w="1985" w:type="dxa"/>
          </w:tcPr>
          <w:p w14:paraId="4D6BB3F4">
            <w:pPr>
              <w:spacing w:after="0" w:line="240" w:lineRule="auto"/>
              <w:jc w:val="both"/>
              <w:rPr>
                <w:rFonts w:asciiTheme="majorBidi" w:hAnsiTheme="majorBidi" w:cstheme="majorBidi"/>
              </w:rPr>
            </w:pPr>
            <w:r>
              <w:rPr>
                <w:rFonts w:asciiTheme="majorBidi" w:hAnsiTheme="majorBidi" w:cstheme="majorBidi"/>
              </w:rPr>
              <w:t>Republic of Burundi</w:t>
            </w:r>
          </w:p>
        </w:tc>
        <w:tc>
          <w:tcPr>
            <w:tcW w:w="2551" w:type="dxa"/>
          </w:tcPr>
          <w:p w14:paraId="37E37A2C">
            <w:pPr>
              <w:spacing w:after="0" w:line="240" w:lineRule="auto"/>
              <w:jc w:val="both"/>
              <w:rPr>
                <w:rFonts w:asciiTheme="majorBidi" w:hAnsiTheme="majorBidi" w:cstheme="majorBidi"/>
              </w:rPr>
            </w:pPr>
          </w:p>
        </w:tc>
      </w:tr>
      <w:tr w14:paraId="093AF25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253" w:hRule="atLeast"/>
        </w:trPr>
        <w:tc>
          <w:tcPr>
            <w:tcW w:w="3397" w:type="dxa"/>
          </w:tcPr>
          <w:p w14:paraId="0F5C7DBB">
            <w:pPr>
              <w:spacing w:after="0" w:line="240" w:lineRule="auto"/>
              <w:jc w:val="both"/>
              <w:rPr>
                <w:rFonts w:asciiTheme="majorBidi" w:hAnsiTheme="majorBidi" w:cstheme="majorBidi"/>
                <w:b/>
                <w:bCs/>
              </w:rPr>
            </w:pPr>
            <w:r>
              <w:rPr>
                <w:rFonts w:asciiTheme="majorBidi" w:hAnsiTheme="majorBidi" w:cstheme="majorBidi"/>
                <w:b/>
                <w:bCs/>
              </w:rPr>
              <w:t>H.E. Marie-Thérèse Sombo Ayanne Safi Mukuna,</w:t>
            </w:r>
          </w:p>
          <w:p w14:paraId="5839352B">
            <w:pPr>
              <w:spacing w:after="0" w:line="240" w:lineRule="auto"/>
              <w:jc w:val="both"/>
              <w:rPr>
                <w:rFonts w:asciiTheme="majorBidi" w:hAnsiTheme="majorBidi" w:cstheme="majorBidi"/>
              </w:rPr>
            </w:pPr>
            <w:r>
              <w:rPr>
                <w:rFonts w:asciiTheme="majorBidi" w:hAnsiTheme="majorBidi" w:cstheme="majorBidi"/>
              </w:rPr>
              <w:t>Minister of Higher and University Education</w:t>
            </w:r>
          </w:p>
        </w:tc>
        <w:tc>
          <w:tcPr>
            <w:tcW w:w="1134" w:type="dxa"/>
          </w:tcPr>
          <w:p w14:paraId="505C4076">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579120" cy="422275"/>
                  <wp:effectExtent l="0" t="0" r="0" b="0"/>
                  <wp:docPr id="322817787" name="Picture 2" descr="A blue and red flag with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17787" name="Picture 2" descr="A blue and red flag with a yellow sta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9329" cy="430297"/>
                          </a:xfrm>
                          <a:prstGeom prst="rect">
                            <a:avLst/>
                          </a:prstGeom>
                          <a:noFill/>
                        </pic:spPr>
                      </pic:pic>
                    </a:graphicData>
                  </a:graphic>
                </wp:inline>
              </w:drawing>
            </w:r>
          </w:p>
        </w:tc>
        <w:tc>
          <w:tcPr>
            <w:tcW w:w="1985" w:type="dxa"/>
          </w:tcPr>
          <w:p w14:paraId="25B98EA3">
            <w:pPr>
              <w:spacing w:after="0" w:line="240" w:lineRule="auto"/>
              <w:jc w:val="both"/>
              <w:rPr>
                <w:rFonts w:asciiTheme="majorBidi" w:hAnsiTheme="majorBidi" w:cstheme="majorBidi"/>
              </w:rPr>
            </w:pPr>
            <w:r>
              <w:rPr>
                <w:rFonts w:asciiTheme="majorBidi" w:hAnsiTheme="majorBidi" w:cstheme="majorBidi"/>
              </w:rPr>
              <w:t>Democratic Republic of Congo</w:t>
            </w:r>
          </w:p>
        </w:tc>
        <w:tc>
          <w:tcPr>
            <w:tcW w:w="2551" w:type="dxa"/>
          </w:tcPr>
          <w:p w14:paraId="5AA1B8CA">
            <w:pPr>
              <w:spacing w:after="0" w:line="240" w:lineRule="auto"/>
              <w:jc w:val="both"/>
              <w:rPr>
                <w:rFonts w:asciiTheme="majorBidi" w:hAnsiTheme="majorBidi" w:cstheme="majorBidi"/>
              </w:rPr>
            </w:pPr>
          </w:p>
        </w:tc>
      </w:tr>
      <w:tr w14:paraId="4D32A90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46" w:hRule="atLeast"/>
        </w:trPr>
        <w:tc>
          <w:tcPr>
            <w:tcW w:w="3397" w:type="dxa"/>
          </w:tcPr>
          <w:p w14:paraId="21A36C88">
            <w:pPr>
              <w:spacing w:after="0" w:line="240" w:lineRule="auto"/>
              <w:jc w:val="both"/>
              <w:rPr>
                <w:rFonts w:asciiTheme="majorBidi" w:hAnsiTheme="majorBidi" w:cstheme="majorBidi"/>
              </w:rPr>
            </w:pPr>
            <w:r>
              <w:rPr>
                <w:rFonts w:asciiTheme="majorBidi" w:hAnsiTheme="majorBidi" w:cstheme="majorBidi"/>
                <w:b/>
                <w:bCs/>
                <w:lang w:val="en-US"/>
              </w:rPr>
              <w:t>Hon. Julius Migos Ogamba,</w:t>
            </w:r>
          </w:p>
          <w:p w14:paraId="2BDD70C4">
            <w:pPr>
              <w:spacing w:after="0" w:line="240" w:lineRule="auto"/>
              <w:jc w:val="both"/>
              <w:rPr>
                <w:rFonts w:asciiTheme="majorBidi" w:hAnsiTheme="majorBidi" w:cstheme="majorBidi"/>
              </w:rPr>
            </w:pPr>
            <w:r>
              <w:rPr>
                <w:rFonts w:asciiTheme="majorBidi" w:hAnsiTheme="majorBidi" w:cstheme="majorBidi"/>
              </w:rPr>
              <w:t>Cabinet Secretary for Education</w:t>
            </w:r>
          </w:p>
        </w:tc>
        <w:tc>
          <w:tcPr>
            <w:tcW w:w="1134" w:type="dxa"/>
          </w:tcPr>
          <w:p w14:paraId="0C0A6D43">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572770" cy="359410"/>
                  <wp:effectExtent l="0" t="0" r="0" b="2540"/>
                  <wp:docPr id="2036745447" name="Picture 3" descr="A red white and blac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45447" name="Picture 3" descr="A red white and black fla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2770" cy="359410"/>
                          </a:xfrm>
                          <a:prstGeom prst="rect">
                            <a:avLst/>
                          </a:prstGeom>
                          <a:noFill/>
                        </pic:spPr>
                      </pic:pic>
                    </a:graphicData>
                  </a:graphic>
                </wp:inline>
              </w:drawing>
            </w:r>
          </w:p>
        </w:tc>
        <w:tc>
          <w:tcPr>
            <w:tcW w:w="1985" w:type="dxa"/>
          </w:tcPr>
          <w:p w14:paraId="693BE285">
            <w:pPr>
              <w:spacing w:after="0" w:line="240" w:lineRule="auto"/>
              <w:jc w:val="both"/>
              <w:rPr>
                <w:rFonts w:asciiTheme="majorBidi" w:hAnsiTheme="majorBidi" w:cstheme="majorBidi"/>
              </w:rPr>
            </w:pPr>
            <w:r>
              <w:rPr>
                <w:rFonts w:asciiTheme="majorBidi" w:hAnsiTheme="majorBidi" w:cstheme="majorBidi"/>
              </w:rPr>
              <w:t>Republic of Kenya</w:t>
            </w:r>
          </w:p>
        </w:tc>
        <w:tc>
          <w:tcPr>
            <w:tcW w:w="2551" w:type="dxa"/>
          </w:tcPr>
          <w:p w14:paraId="396E07EC">
            <w:pPr>
              <w:spacing w:after="0" w:line="240" w:lineRule="auto"/>
              <w:jc w:val="both"/>
              <w:rPr>
                <w:rFonts w:asciiTheme="majorBidi" w:hAnsiTheme="majorBidi" w:cstheme="majorBidi"/>
              </w:rPr>
            </w:pPr>
          </w:p>
        </w:tc>
      </w:tr>
      <w:tr w14:paraId="22AF6CE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45" w:hRule="atLeast"/>
        </w:trPr>
        <w:tc>
          <w:tcPr>
            <w:tcW w:w="3397" w:type="dxa"/>
          </w:tcPr>
          <w:p w14:paraId="05110A70">
            <w:pPr>
              <w:spacing w:after="0" w:line="240" w:lineRule="auto"/>
              <w:jc w:val="both"/>
              <w:rPr>
                <w:rFonts w:asciiTheme="majorBidi" w:hAnsiTheme="majorBidi" w:cstheme="majorBidi"/>
                <w:b/>
                <w:bCs/>
              </w:rPr>
            </w:pPr>
            <w:r>
              <w:rPr>
                <w:rFonts w:asciiTheme="majorBidi" w:hAnsiTheme="majorBidi" w:cstheme="majorBidi"/>
                <w:b/>
                <w:bCs/>
              </w:rPr>
              <w:t>Hon. Joseph Nsengimana,</w:t>
            </w:r>
          </w:p>
          <w:p w14:paraId="2B8B1F2D">
            <w:pPr>
              <w:spacing w:after="0" w:line="240" w:lineRule="auto"/>
              <w:jc w:val="both"/>
              <w:rPr>
                <w:rFonts w:asciiTheme="majorBidi" w:hAnsiTheme="majorBidi" w:cstheme="majorBidi"/>
              </w:rPr>
            </w:pPr>
            <w:r>
              <w:rPr>
                <w:rFonts w:asciiTheme="majorBidi" w:hAnsiTheme="majorBidi" w:cstheme="majorBidi"/>
              </w:rPr>
              <w:t>Minister of Education</w:t>
            </w:r>
          </w:p>
        </w:tc>
        <w:tc>
          <w:tcPr>
            <w:tcW w:w="1134" w:type="dxa"/>
          </w:tcPr>
          <w:p w14:paraId="36830918">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572770" cy="359410"/>
                  <wp:effectExtent l="0" t="0" r="0" b="2540"/>
                  <wp:docPr id="1666968133" name="Picture 4" descr="A blue sky and yellow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68133" name="Picture 4" descr="A blue sky and yellow su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770" cy="359410"/>
                          </a:xfrm>
                          <a:prstGeom prst="rect">
                            <a:avLst/>
                          </a:prstGeom>
                          <a:noFill/>
                        </pic:spPr>
                      </pic:pic>
                    </a:graphicData>
                  </a:graphic>
                </wp:inline>
              </w:drawing>
            </w:r>
          </w:p>
        </w:tc>
        <w:tc>
          <w:tcPr>
            <w:tcW w:w="1985" w:type="dxa"/>
          </w:tcPr>
          <w:p w14:paraId="1337CC94">
            <w:pPr>
              <w:spacing w:after="0" w:line="240" w:lineRule="auto"/>
              <w:jc w:val="both"/>
              <w:rPr>
                <w:rFonts w:asciiTheme="majorBidi" w:hAnsiTheme="majorBidi" w:cstheme="majorBidi"/>
              </w:rPr>
            </w:pPr>
            <w:r>
              <w:rPr>
                <w:rFonts w:asciiTheme="majorBidi" w:hAnsiTheme="majorBidi" w:cstheme="majorBidi"/>
              </w:rPr>
              <w:t>Republic of Rwanda</w:t>
            </w:r>
          </w:p>
        </w:tc>
        <w:tc>
          <w:tcPr>
            <w:tcW w:w="2551" w:type="dxa"/>
          </w:tcPr>
          <w:p w14:paraId="5EB00B54">
            <w:pPr>
              <w:spacing w:after="0" w:line="240" w:lineRule="auto"/>
              <w:jc w:val="both"/>
              <w:rPr>
                <w:rFonts w:asciiTheme="majorBidi" w:hAnsiTheme="majorBidi" w:cstheme="majorBidi"/>
              </w:rPr>
            </w:pPr>
          </w:p>
        </w:tc>
      </w:tr>
      <w:tr w14:paraId="6BE5BC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90" w:hRule="atLeast"/>
        </w:trPr>
        <w:tc>
          <w:tcPr>
            <w:tcW w:w="3397" w:type="dxa"/>
          </w:tcPr>
          <w:p w14:paraId="5B781178">
            <w:pPr>
              <w:spacing w:after="0" w:line="240" w:lineRule="auto"/>
              <w:jc w:val="both"/>
              <w:rPr>
                <w:rFonts w:asciiTheme="majorBidi" w:hAnsiTheme="majorBidi" w:cstheme="majorBidi"/>
                <w:b/>
                <w:bCs/>
              </w:rPr>
            </w:pPr>
            <w:r>
              <w:rPr>
                <w:rFonts w:asciiTheme="majorBidi" w:hAnsiTheme="majorBidi" w:cstheme="majorBidi"/>
                <w:b/>
                <w:bCs/>
              </w:rPr>
              <w:t>Hon. Nura Mustaf Mukhtar,</w:t>
            </w:r>
          </w:p>
          <w:p w14:paraId="65C1E186">
            <w:pPr>
              <w:spacing w:after="0" w:line="240" w:lineRule="auto"/>
              <w:jc w:val="both"/>
              <w:rPr>
                <w:rFonts w:asciiTheme="majorBidi" w:hAnsiTheme="majorBidi" w:cstheme="majorBidi"/>
              </w:rPr>
            </w:pPr>
            <w:r>
              <w:rPr>
                <w:rFonts w:asciiTheme="majorBidi" w:hAnsiTheme="majorBidi" w:cstheme="majorBidi"/>
              </w:rPr>
              <w:t>State Minister of Education, Culture and Higher Education</w:t>
            </w:r>
          </w:p>
        </w:tc>
        <w:tc>
          <w:tcPr>
            <w:tcW w:w="1134" w:type="dxa"/>
          </w:tcPr>
          <w:p w14:paraId="64C58D64">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640080" cy="359410"/>
                  <wp:effectExtent l="0" t="0" r="7620" b="2540"/>
                  <wp:docPr id="2038743154" name="Picture 5" descr="A white star i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43154" name="Picture 5" descr="A white star in a blu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40080" cy="359410"/>
                          </a:xfrm>
                          <a:prstGeom prst="rect">
                            <a:avLst/>
                          </a:prstGeom>
                          <a:noFill/>
                        </pic:spPr>
                      </pic:pic>
                    </a:graphicData>
                  </a:graphic>
                </wp:inline>
              </w:drawing>
            </w:r>
          </w:p>
        </w:tc>
        <w:tc>
          <w:tcPr>
            <w:tcW w:w="1985" w:type="dxa"/>
          </w:tcPr>
          <w:p w14:paraId="59F5C465">
            <w:pPr>
              <w:spacing w:after="0" w:line="240" w:lineRule="auto"/>
              <w:jc w:val="both"/>
              <w:rPr>
                <w:rFonts w:asciiTheme="majorBidi" w:hAnsiTheme="majorBidi" w:cstheme="majorBidi"/>
              </w:rPr>
            </w:pPr>
            <w:r>
              <w:rPr>
                <w:rFonts w:asciiTheme="majorBidi" w:hAnsiTheme="majorBidi" w:cstheme="majorBidi"/>
              </w:rPr>
              <w:t>Federal Republic of Somalia</w:t>
            </w:r>
          </w:p>
        </w:tc>
        <w:tc>
          <w:tcPr>
            <w:tcW w:w="2551" w:type="dxa"/>
          </w:tcPr>
          <w:p w14:paraId="447C340D">
            <w:pPr>
              <w:spacing w:after="0" w:line="240" w:lineRule="auto"/>
              <w:jc w:val="both"/>
              <w:rPr>
                <w:rFonts w:asciiTheme="majorBidi" w:hAnsiTheme="majorBidi" w:cstheme="majorBidi"/>
              </w:rPr>
            </w:pPr>
          </w:p>
        </w:tc>
      </w:tr>
      <w:tr w14:paraId="4D8011D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1" w:hRule="atLeast"/>
        </w:trPr>
        <w:tc>
          <w:tcPr>
            <w:tcW w:w="3397" w:type="dxa"/>
          </w:tcPr>
          <w:p w14:paraId="308FCDAA">
            <w:pPr>
              <w:spacing w:after="0" w:line="240" w:lineRule="auto"/>
              <w:jc w:val="both"/>
              <w:rPr>
                <w:rFonts w:asciiTheme="majorBidi" w:hAnsiTheme="majorBidi" w:cstheme="majorBidi"/>
                <w:b/>
                <w:bCs/>
              </w:rPr>
            </w:pPr>
            <w:r>
              <w:rPr>
                <w:rFonts w:asciiTheme="majorBidi" w:hAnsiTheme="majorBidi" w:cstheme="majorBidi"/>
                <w:b/>
                <w:bCs/>
              </w:rPr>
              <w:t>Hon. Madut Biar Yel,</w:t>
            </w:r>
          </w:p>
          <w:p w14:paraId="3EF0EC00">
            <w:pPr>
              <w:spacing w:after="0" w:line="240" w:lineRule="auto"/>
              <w:jc w:val="both"/>
              <w:rPr>
                <w:rFonts w:asciiTheme="majorBidi" w:hAnsiTheme="majorBidi" w:cstheme="majorBidi"/>
              </w:rPr>
            </w:pPr>
            <w:r>
              <w:rPr>
                <w:rFonts w:asciiTheme="majorBidi" w:hAnsiTheme="majorBidi" w:cstheme="majorBidi"/>
              </w:rPr>
              <w:t>Minister of Higher Education, Science and Technology</w:t>
            </w:r>
          </w:p>
        </w:tc>
        <w:tc>
          <w:tcPr>
            <w:tcW w:w="1134" w:type="dxa"/>
          </w:tcPr>
          <w:p w14:paraId="2CDAC8D3">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638175" cy="396240"/>
                  <wp:effectExtent l="0" t="0" r="9525" b="3810"/>
                  <wp:docPr id="930331863" name="Picture 6" descr="A flag with a triangle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31863" name="Picture 6" descr="A flag with a triangle and a sta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42525" cy="398760"/>
                          </a:xfrm>
                          <a:prstGeom prst="rect">
                            <a:avLst/>
                          </a:prstGeom>
                          <a:noFill/>
                        </pic:spPr>
                      </pic:pic>
                    </a:graphicData>
                  </a:graphic>
                </wp:inline>
              </w:drawing>
            </w:r>
          </w:p>
        </w:tc>
        <w:tc>
          <w:tcPr>
            <w:tcW w:w="1985" w:type="dxa"/>
          </w:tcPr>
          <w:p w14:paraId="3B9A83EF">
            <w:pPr>
              <w:spacing w:after="0" w:line="240" w:lineRule="auto"/>
              <w:jc w:val="both"/>
              <w:rPr>
                <w:rFonts w:asciiTheme="majorBidi" w:hAnsiTheme="majorBidi" w:cstheme="majorBidi"/>
              </w:rPr>
            </w:pPr>
            <w:r>
              <w:rPr>
                <w:rFonts w:asciiTheme="majorBidi" w:hAnsiTheme="majorBidi" w:cstheme="majorBidi"/>
              </w:rPr>
              <w:t>Republic of South Sudan</w:t>
            </w:r>
          </w:p>
        </w:tc>
        <w:tc>
          <w:tcPr>
            <w:tcW w:w="2551" w:type="dxa"/>
          </w:tcPr>
          <w:p w14:paraId="31C429B0">
            <w:pPr>
              <w:spacing w:after="0" w:line="240" w:lineRule="auto"/>
              <w:jc w:val="both"/>
              <w:rPr>
                <w:rFonts w:asciiTheme="majorBidi" w:hAnsiTheme="majorBidi" w:cstheme="majorBidi"/>
              </w:rPr>
            </w:pPr>
          </w:p>
        </w:tc>
      </w:tr>
      <w:tr w14:paraId="5BFDF5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14" w:hRule="atLeast"/>
        </w:trPr>
        <w:tc>
          <w:tcPr>
            <w:tcW w:w="3397" w:type="dxa"/>
          </w:tcPr>
          <w:p w14:paraId="67665275">
            <w:pPr>
              <w:spacing w:after="0" w:line="240" w:lineRule="auto"/>
              <w:jc w:val="both"/>
              <w:rPr>
                <w:rFonts w:asciiTheme="majorBidi" w:hAnsiTheme="majorBidi" w:cstheme="majorBidi"/>
                <w:b/>
                <w:bCs/>
              </w:rPr>
            </w:pPr>
            <w:r>
              <w:rPr>
                <w:rFonts w:ascii="Times New Roman" w:hAnsi="Times New Roman" w:eastAsia="Times New Roman" w:cs="Times New Roman"/>
                <w:b/>
                <w:bCs/>
                <w:kern w:val="0"/>
                <w14:ligatures w14:val="none"/>
              </w:rPr>
              <w:t>Hon. Janet Kataha Museveni,</w:t>
            </w:r>
          </w:p>
          <w:p w14:paraId="45384057">
            <w:pPr>
              <w:spacing w:after="0" w:line="240" w:lineRule="auto"/>
              <w:jc w:val="both"/>
              <w:rPr>
                <w:rFonts w:asciiTheme="majorBidi" w:hAnsiTheme="majorBidi" w:cstheme="majorBidi"/>
              </w:rPr>
            </w:pPr>
            <w:r>
              <w:rPr>
                <w:rFonts w:asciiTheme="majorBidi" w:hAnsiTheme="majorBidi" w:cstheme="majorBidi"/>
              </w:rPr>
              <w:t>First Lady and Minister of Education &amp; Sports</w:t>
            </w:r>
          </w:p>
        </w:tc>
        <w:tc>
          <w:tcPr>
            <w:tcW w:w="1134" w:type="dxa"/>
          </w:tcPr>
          <w:p w14:paraId="3159DA2C">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585470" cy="359410"/>
                  <wp:effectExtent l="0" t="0" r="5080" b="2540"/>
                  <wp:docPr id="474073710" name="Picture 8" descr="A flag with a white circle and a red and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73710" name="Picture 8" descr="A flag with a white circle and a red and black strip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5470" cy="359410"/>
                          </a:xfrm>
                          <a:prstGeom prst="rect">
                            <a:avLst/>
                          </a:prstGeom>
                          <a:noFill/>
                        </pic:spPr>
                      </pic:pic>
                    </a:graphicData>
                  </a:graphic>
                </wp:inline>
              </w:drawing>
            </w:r>
          </w:p>
        </w:tc>
        <w:tc>
          <w:tcPr>
            <w:tcW w:w="1985" w:type="dxa"/>
          </w:tcPr>
          <w:p w14:paraId="1A09130A">
            <w:pPr>
              <w:spacing w:after="0" w:line="240" w:lineRule="auto"/>
              <w:jc w:val="both"/>
              <w:rPr>
                <w:rFonts w:asciiTheme="majorBidi" w:hAnsiTheme="majorBidi" w:cstheme="majorBidi"/>
              </w:rPr>
            </w:pPr>
            <w:r>
              <w:rPr>
                <w:rFonts w:asciiTheme="majorBidi" w:hAnsiTheme="majorBidi" w:cstheme="majorBidi"/>
              </w:rPr>
              <w:t>Republic of Uganda</w:t>
            </w:r>
          </w:p>
        </w:tc>
        <w:tc>
          <w:tcPr>
            <w:tcW w:w="2551" w:type="dxa"/>
          </w:tcPr>
          <w:p w14:paraId="692C1A68">
            <w:pPr>
              <w:spacing w:after="0" w:line="240" w:lineRule="auto"/>
              <w:jc w:val="both"/>
              <w:rPr>
                <w:rFonts w:asciiTheme="majorBidi" w:hAnsiTheme="majorBidi" w:cstheme="majorBidi"/>
              </w:rPr>
            </w:pPr>
          </w:p>
        </w:tc>
      </w:tr>
      <w:tr w14:paraId="1AFDBC8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397" w:type="dxa"/>
          </w:tcPr>
          <w:p w14:paraId="637E1060">
            <w:pPr>
              <w:spacing w:after="0" w:line="240" w:lineRule="auto"/>
              <w:jc w:val="both"/>
              <w:rPr>
                <w:rFonts w:asciiTheme="majorBidi" w:hAnsiTheme="majorBidi" w:cstheme="majorBidi"/>
                <w:b/>
                <w:bCs/>
              </w:rPr>
            </w:pPr>
            <w:r>
              <w:rPr>
                <w:rFonts w:asciiTheme="majorBidi" w:hAnsiTheme="majorBidi" w:cstheme="majorBidi"/>
                <w:b/>
                <w:bCs/>
              </w:rPr>
              <w:t>Prof. Daniel Elias Mushi,</w:t>
            </w:r>
          </w:p>
          <w:p w14:paraId="38B9606C">
            <w:pPr>
              <w:spacing w:after="0" w:line="240" w:lineRule="auto"/>
              <w:jc w:val="both"/>
              <w:rPr>
                <w:rFonts w:asciiTheme="majorBidi" w:hAnsiTheme="majorBidi" w:cstheme="majorBidi"/>
              </w:rPr>
            </w:pPr>
            <w:r>
              <w:rPr>
                <w:rFonts w:asciiTheme="majorBidi" w:hAnsiTheme="majorBidi" w:cstheme="majorBidi"/>
              </w:rPr>
              <w:t>Deputy Permanent Secretary, on Behalf of the Minister of Education, Science and Technology</w:t>
            </w:r>
          </w:p>
        </w:tc>
        <w:tc>
          <w:tcPr>
            <w:tcW w:w="1134" w:type="dxa"/>
          </w:tcPr>
          <w:p w14:paraId="2B462A5B">
            <w:pPr>
              <w:spacing w:after="0" w:line="240" w:lineRule="auto"/>
              <w:jc w:val="both"/>
              <w:rPr>
                <w:rFonts w:asciiTheme="majorBidi" w:hAnsiTheme="majorBidi" w:cstheme="majorBidi"/>
              </w:rPr>
            </w:pPr>
            <w:r>
              <w:rPr>
                <w:rFonts w:ascii="Tahoma" w:hAnsi="Tahoma" w:eastAsia="Tahoma" w:cs="Tahoma"/>
                <w:b/>
                <w:bCs/>
                <w:color w:val="003399"/>
                <w:sz w:val="48"/>
                <w:szCs w:val="48"/>
              </w:rPr>
              <w:drawing>
                <wp:inline distT="0" distB="0" distL="0" distR="0">
                  <wp:extent cx="648335" cy="391795"/>
                  <wp:effectExtent l="0" t="0" r="0" b="8255"/>
                  <wp:docPr id="1543558799" name="Picture 7" descr="A blue green and blac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58799" name="Picture 7" descr="A blue green and black flag&#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0825" cy="393178"/>
                          </a:xfrm>
                          <a:prstGeom prst="rect">
                            <a:avLst/>
                          </a:prstGeom>
                          <a:noFill/>
                        </pic:spPr>
                      </pic:pic>
                    </a:graphicData>
                  </a:graphic>
                </wp:inline>
              </w:drawing>
            </w:r>
          </w:p>
        </w:tc>
        <w:tc>
          <w:tcPr>
            <w:tcW w:w="1985" w:type="dxa"/>
          </w:tcPr>
          <w:p w14:paraId="3AB4DEF5">
            <w:pPr>
              <w:spacing w:after="0" w:line="240" w:lineRule="auto"/>
              <w:jc w:val="both"/>
              <w:rPr>
                <w:rFonts w:asciiTheme="majorBidi" w:hAnsiTheme="majorBidi" w:cstheme="majorBidi"/>
              </w:rPr>
            </w:pPr>
            <w:r>
              <w:rPr>
                <w:rFonts w:asciiTheme="majorBidi" w:hAnsiTheme="majorBidi" w:cstheme="majorBidi"/>
              </w:rPr>
              <w:t>United Republic of Tanzania</w:t>
            </w:r>
          </w:p>
        </w:tc>
        <w:tc>
          <w:tcPr>
            <w:tcW w:w="2551" w:type="dxa"/>
          </w:tcPr>
          <w:p w14:paraId="47DA4108">
            <w:pPr>
              <w:spacing w:after="0" w:line="240" w:lineRule="auto"/>
              <w:jc w:val="both"/>
              <w:rPr>
                <w:rFonts w:asciiTheme="majorBidi" w:hAnsiTheme="majorBidi" w:cstheme="majorBidi"/>
              </w:rPr>
            </w:pPr>
          </w:p>
        </w:tc>
      </w:tr>
    </w:tbl>
    <w:p w14:paraId="12D4E89C">
      <w:pPr>
        <w:jc w:val="both"/>
        <w:rPr>
          <w:rFonts w:asciiTheme="majorBidi" w:hAnsiTheme="majorBidi" w:cstheme="majorBidi"/>
        </w:rPr>
      </w:pPr>
    </w:p>
    <w:p w14:paraId="13805229">
      <w:pPr>
        <w:jc w:val="both"/>
        <w:rPr>
          <w:rFonts w:asciiTheme="majorBidi" w:hAnsiTheme="majorBidi" w:cstheme="majorBidi"/>
        </w:rPr>
      </w:pPr>
    </w:p>
    <w:p w14:paraId="11C845F0">
      <w:pPr>
        <w:rPr>
          <w:rFonts w:asciiTheme="majorBidi" w:hAnsiTheme="majorBidi" w:cstheme="majorBidi"/>
          <w:b/>
          <w:bCs/>
        </w:rPr>
      </w:pPr>
      <w:r>
        <w:rPr>
          <w:rFonts w:asciiTheme="majorBidi" w:hAnsiTheme="majorBidi" w:cstheme="majorBidi"/>
          <w:b/>
          <w:bCs/>
        </w:rPr>
        <w:br w:type="page"/>
      </w:r>
    </w:p>
    <w:p w14:paraId="5ADC33E8">
      <w:pPr>
        <w:jc w:val="both"/>
        <w:rPr>
          <w:rFonts w:asciiTheme="majorBidi" w:hAnsiTheme="majorBidi" w:cstheme="majorBidi"/>
          <w:b/>
          <w:bCs/>
        </w:rPr>
      </w:pPr>
      <w:r>
        <w:rPr>
          <w:rFonts w:asciiTheme="majorBidi" w:hAnsiTheme="majorBidi" w:cstheme="majorBidi"/>
          <w:b/>
          <w:bCs/>
        </w:rPr>
        <w:t>MATRIX ON IMPLEMENTATION OF RESOLUTIONS</w:t>
      </w:r>
    </w:p>
    <w:tbl>
      <w:tblPr>
        <w:tblStyle w:val="39"/>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590"/>
        <w:gridCol w:w="5430"/>
        <w:gridCol w:w="2996"/>
      </w:tblGrid>
      <w:tr w14:paraId="67CB6A7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14:paraId="0A6B756B">
            <w:pPr>
              <w:spacing w:after="0" w:line="240" w:lineRule="auto"/>
              <w:jc w:val="both"/>
              <w:rPr>
                <w:rFonts w:asciiTheme="majorBidi" w:hAnsiTheme="majorBidi" w:cstheme="majorBidi"/>
                <w:b w:val="0"/>
                <w:bCs w:val="0"/>
                <w:color w:val="FFFFFF" w:themeColor="background1"/>
                <w14:textFill>
                  <w14:solidFill>
                    <w14:schemeClr w14:val="bg1"/>
                  </w14:solidFill>
                </w14:textFill>
              </w:rPr>
            </w:pPr>
            <w:r>
              <w:rPr>
                <w:rFonts w:asciiTheme="majorBidi" w:hAnsiTheme="majorBidi" w:cstheme="majorBidi"/>
                <w:b w:val="0"/>
                <w:bCs w:val="0"/>
                <w:color w:val="FFFFFF" w:themeColor="background1"/>
                <w14:textFill>
                  <w14:solidFill>
                    <w14:schemeClr w14:val="bg1"/>
                  </w14:solidFill>
                </w14:textFill>
              </w:rPr>
              <w:t>S/N</w:t>
            </w:r>
          </w:p>
        </w:tc>
        <w:tc>
          <w:tcPr>
            <w:tcW w:w="543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14:paraId="57843135">
            <w:pPr>
              <w:spacing w:after="0" w:line="240" w:lineRule="auto"/>
              <w:jc w:val="both"/>
              <w:rPr>
                <w:rFonts w:asciiTheme="majorBidi" w:hAnsiTheme="majorBidi" w:cstheme="majorBidi"/>
                <w:b w:val="0"/>
                <w:bCs w:val="0"/>
                <w:color w:val="FFFFFF" w:themeColor="background1"/>
                <w14:textFill>
                  <w14:solidFill>
                    <w14:schemeClr w14:val="bg1"/>
                  </w14:solidFill>
                </w14:textFill>
              </w:rPr>
            </w:pPr>
            <w:r>
              <w:rPr>
                <w:rFonts w:asciiTheme="majorBidi" w:hAnsiTheme="majorBidi" w:cstheme="majorBidi"/>
                <w:b w:val="0"/>
                <w:bCs w:val="0"/>
                <w:color w:val="FFFFFF" w:themeColor="background1"/>
                <w14:textFill>
                  <w14:solidFill>
                    <w14:schemeClr w14:val="bg1"/>
                  </w14:solidFill>
                </w14:textFill>
              </w:rPr>
              <w:t>Resolution</w:t>
            </w:r>
          </w:p>
        </w:tc>
        <w:tc>
          <w:tcPr>
            <w:tcW w:w="2996"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14:paraId="0560A5F5">
            <w:pPr>
              <w:spacing w:after="0" w:line="240" w:lineRule="auto"/>
              <w:jc w:val="both"/>
              <w:rPr>
                <w:rFonts w:asciiTheme="majorBidi" w:hAnsiTheme="majorBidi" w:cstheme="majorBidi"/>
                <w:b w:val="0"/>
                <w:bCs w:val="0"/>
                <w:color w:val="FFFFFF" w:themeColor="background1"/>
                <w14:textFill>
                  <w14:solidFill>
                    <w14:schemeClr w14:val="bg1"/>
                  </w14:solidFill>
                </w14:textFill>
              </w:rPr>
            </w:pPr>
            <w:r>
              <w:rPr>
                <w:rFonts w:asciiTheme="majorBidi" w:hAnsiTheme="majorBidi" w:cstheme="majorBidi"/>
                <w:b w:val="0"/>
                <w:bCs w:val="0"/>
                <w:color w:val="FFFFFF" w:themeColor="background1"/>
                <w14:textFill>
                  <w14:solidFill>
                    <w14:schemeClr w14:val="bg1"/>
                  </w14:solidFill>
                </w14:textFill>
              </w:rPr>
              <w:t>Timeline</w:t>
            </w:r>
          </w:p>
        </w:tc>
      </w:tr>
      <w:tr w14:paraId="11B0D3E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shd w:val="clear" w:color="auto" w:fill="CCCCCC" w:themeFill="text1" w:themeFillTint="33"/>
          </w:tcPr>
          <w:p w14:paraId="01C0357F">
            <w:pPr>
              <w:spacing w:after="0" w:line="240" w:lineRule="auto"/>
              <w:jc w:val="both"/>
              <w:rPr>
                <w:rFonts w:asciiTheme="majorBidi" w:hAnsiTheme="majorBidi" w:cstheme="majorBidi"/>
                <w:b/>
                <w:bCs/>
              </w:rPr>
            </w:pPr>
            <w:r>
              <w:rPr>
                <w:rFonts w:asciiTheme="majorBidi" w:hAnsiTheme="majorBidi" w:cstheme="majorBidi"/>
                <w:b/>
                <w:bCs/>
              </w:rPr>
              <w:t>1.</w:t>
            </w:r>
          </w:p>
        </w:tc>
        <w:tc>
          <w:tcPr>
            <w:tcW w:w="5430" w:type="dxa"/>
            <w:shd w:val="clear" w:color="auto" w:fill="CCCCCC" w:themeFill="text1" w:themeFillTint="33"/>
          </w:tcPr>
          <w:p w14:paraId="45D0E995">
            <w:pPr>
              <w:spacing w:after="0" w:line="240" w:lineRule="auto"/>
              <w:jc w:val="both"/>
              <w:rPr>
                <w:rFonts w:asciiTheme="majorBidi" w:hAnsiTheme="majorBidi" w:cstheme="majorBidi"/>
              </w:rPr>
            </w:pPr>
            <w:r>
              <w:rPr>
                <w:rFonts w:asciiTheme="majorBidi" w:hAnsiTheme="majorBidi" w:cstheme="majorBidi"/>
                <w:b/>
                <w:bCs/>
              </w:rPr>
              <w:t>IUCEA</w:t>
            </w:r>
            <w:r>
              <w:rPr>
                <w:rFonts w:asciiTheme="majorBidi" w:hAnsiTheme="majorBidi" w:cstheme="majorBidi"/>
              </w:rPr>
              <w:t>, in collaboration with the Forum of CEOs of National Commissions and Councils for higher education, to develop and disseminate detailed guidelines to assist HEIs in integrating EAC regional frameworks into their institutional policies and academic programmes. IUCEA shall report annually to the Sectoral Council for Education, Science, Technology, Culture and Sports on the status of EACHEA implementation.</w:t>
            </w:r>
          </w:p>
        </w:tc>
        <w:tc>
          <w:tcPr>
            <w:tcW w:w="2996" w:type="dxa"/>
            <w:shd w:val="clear" w:color="auto" w:fill="CCCCCC" w:themeFill="text1" w:themeFillTint="33"/>
          </w:tcPr>
          <w:p w14:paraId="7A9DC58E">
            <w:pPr>
              <w:spacing w:after="0" w:line="240" w:lineRule="auto"/>
              <w:jc w:val="both"/>
              <w:rPr>
                <w:rFonts w:asciiTheme="majorBidi" w:hAnsiTheme="majorBidi" w:cstheme="majorBidi"/>
              </w:rPr>
            </w:pPr>
            <w:r>
              <w:rPr>
                <w:rFonts w:asciiTheme="majorBidi" w:hAnsiTheme="majorBidi" w:cstheme="majorBidi"/>
              </w:rPr>
              <w:t>1 year</w:t>
            </w:r>
          </w:p>
        </w:tc>
      </w:tr>
      <w:tr w14:paraId="7EF0831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tcPr>
          <w:p w14:paraId="47BEB79C">
            <w:pPr>
              <w:spacing w:after="0" w:line="240" w:lineRule="auto"/>
              <w:jc w:val="both"/>
              <w:rPr>
                <w:rFonts w:asciiTheme="majorBidi" w:hAnsiTheme="majorBidi" w:cstheme="majorBidi"/>
                <w:b/>
                <w:bCs/>
              </w:rPr>
            </w:pPr>
            <w:r>
              <w:rPr>
                <w:rFonts w:asciiTheme="majorBidi" w:hAnsiTheme="majorBidi" w:cstheme="majorBidi"/>
                <w:b/>
                <w:bCs/>
              </w:rPr>
              <w:t>2.</w:t>
            </w:r>
          </w:p>
        </w:tc>
        <w:tc>
          <w:tcPr>
            <w:tcW w:w="5430" w:type="dxa"/>
          </w:tcPr>
          <w:p w14:paraId="7A96C252">
            <w:pPr>
              <w:spacing w:after="0" w:line="240" w:lineRule="auto"/>
              <w:jc w:val="both"/>
              <w:rPr>
                <w:rFonts w:asciiTheme="majorBidi" w:hAnsiTheme="majorBidi" w:cstheme="majorBidi"/>
              </w:rPr>
            </w:pPr>
            <w:r>
              <w:rPr>
                <w:rFonts w:asciiTheme="majorBidi" w:hAnsiTheme="majorBidi" w:cstheme="majorBidi"/>
                <w:b/>
                <w:bCs/>
              </w:rPr>
              <w:t>IUCEA and the Forum of National Councils and Commissions for Higher Education</w:t>
            </w:r>
            <w:r>
              <w:rPr>
                <w:rFonts w:asciiTheme="majorBidi" w:hAnsiTheme="majorBidi" w:cstheme="majorBidi"/>
              </w:rPr>
              <w:t xml:space="preserve"> to fast-track the full implementation and annual review of the EACHEA and to establish and maintain a Regional Database of accredited institutions and programmes, publicly accessible across Partner States.</w:t>
            </w:r>
          </w:p>
        </w:tc>
        <w:tc>
          <w:tcPr>
            <w:tcW w:w="2996" w:type="dxa"/>
          </w:tcPr>
          <w:p w14:paraId="04A9BE27">
            <w:pPr>
              <w:spacing w:after="0" w:line="240" w:lineRule="auto"/>
              <w:jc w:val="both"/>
              <w:rPr>
                <w:rFonts w:asciiTheme="majorBidi" w:hAnsiTheme="majorBidi" w:cstheme="majorBidi"/>
              </w:rPr>
            </w:pPr>
            <w:r>
              <w:rPr>
                <w:rFonts w:asciiTheme="majorBidi" w:hAnsiTheme="majorBidi" w:cstheme="majorBidi"/>
              </w:rPr>
              <w:t>1 year</w:t>
            </w:r>
          </w:p>
        </w:tc>
      </w:tr>
      <w:tr w14:paraId="069443C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shd w:val="clear" w:color="auto" w:fill="CCCCCC" w:themeFill="text1" w:themeFillTint="33"/>
          </w:tcPr>
          <w:p w14:paraId="6BE291B3">
            <w:pPr>
              <w:spacing w:after="0" w:line="240" w:lineRule="auto"/>
              <w:jc w:val="both"/>
              <w:rPr>
                <w:rFonts w:asciiTheme="majorBidi" w:hAnsiTheme="majorBidi" w:cstheme="majorBidi"/>
                <w:b/>
                <w:bCs/>
              </w:rPr>
            </w:pPr>
            <w:r>
              <w:rPr>
                <w:rFonts w:asciiTheme="majorBidi" w:hAnsiTheme="majorBidi" w:cstheme="majorBidi"/>
                <w:b/>
                <w:bCs/>
              </w:rPr>
              <w:t>3.</w:t>
            </w:r>
          </w:p>
        </w:tc>
        <w:tc>
          <w:tcPr>
            <w:tcW w:w="5430" w:type="dxa"/>
            <w:shd w:val="clear" w:color="auto" w:fill="CCCCCC" w:themeFill="text1" w:themeFillTint="33"/>
          </w:tcPr>
          <w:p w14:paraId="6DFC79A2">
            <w:pPr>
              <w:spacing w:after="0" w:line="240" w:lineRule="auto"/>
              <w:jc w:val="both"/>
              <w:rPr>
                <w:rFonts w:asciiTheme="majorBidi" w:hAnsiTheme="majorBidi" w:cstheme="majorBidi"/>
              </w:rPr>
            </w:pPr>
            <w:r>
              <w:rPr>
                <w:rFonts w:asciiTheme="majorBidi" w:hAnsiTheme="majorBidi" w:cstheme="majorBidi"/>
                <w:b/>
                <w:bCs/>
              </w:rPr>
              <w:t>Partner States</w:t>
            </w:r>
            <w:r>
              <w:rPr>
                <w:rFonts w:asciiTheme="majorBidi" w:hAnsiTheme="majorBidi" w:cstheme="majorBidi"/>
              </w:rPr>
              <w:t xml:space="preserve"> to designate national focal points to coordinate EACHEA activities, monitor progress, and ensure effective linkages between national and regional structures.</w:t>
            </w:r>
          </w:p>
        </w:tc>
        <w:tc>
          <w:tcPr>
            <w:tcW w:w="2996" w:type="dxa"/>
            <w:shd w:val="clear" w:color="auto" w:fill="CCCCCC" w:themeFill="text1" w:themeFillTint="33"/>
          </w:tcPr>
          <w:p w14:paraId="09D33491">
            <w:pPr>
              <w:spacing w:after="0" w:line="240" w:lineRule="auto"/>
              <w:jc w:val="both"/>
              <w:rPr>
                <w:rFonts w:asciiTheme="majorBidi" w:hAnsiTheme="majorBidi" w:cstheme="majorBidi"/>
              </w:rPr>
            </w:pPr>
            <w:r>
              <w:rPr>
                <w:rFonts w:asciiTheme="majorBidi" w:hAnsiTheme="majorBidi" w:cstheme="majorBidi"/>
              </w:rPr>
              <w:t>6 months</w:t>
            </w:r>
          </w:p>
        </w:tc>
      </w:tr>
      <w:tr w14:paraId="2FA6B53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tcPr>
          <w:p w14:paraId="53884549">
            <w:pPr>
              <w:spacing w:after="0" w:line="240" w:lineRule="auto"/>
              <w:jc w:val="both"/>
              <w:rPr>
                <w:rFonts w:asciiTheme="majorBidi" w:hAnsiTheme="majorBidi" w:cstheme="majorBidi"/>
                <w:b/>
                <w:bCs/>
              </w:rPr>
            </w:pPr>
            <w:r>
              <w:rPr>
                <w:rFonts w:asciiTheme="majorBidi" w:hAnsiTheme="majorBidi" w:cstheme="majorBidi"/>
                <w:b/>
                <w:bCs/>
              </w:rPr>
              <w:t>4.</w:t>
            </w:r>
          </w:p>
        </w:tc>
        <w:tc>
          <w:tcPr>
            <w:tcW w:w="5430" w:type="dxa"/>
          </w:tcPr>
          <w:p w14:paraId="2DD6E9AC">
            <w:pPr>
              <w:spacing w:after="0" w:line="240" w:lineRule="auto"/>
              <w:jc w:val="both"/>
              <w:rPr>
                <w:rFonts w:asciiTheme="majorBidi" w:hAnsiTheme="majorBidi" w:cstheme="majorBidi"/>
              </w:rPr>
            </w:pPr>
            <w:r>
              <w:rPr>
                <w:rFonts w:asciiTheme="majorBidi" w:hAnsiTheme="majorBidi" w:cstheme="majorBidi"/>
                <w:b/>
                <w:bCs/>
              </w:rPr>
              <w:t xml:space="preserve">Partner States </w:t>
            </w:r>
            <w:r>
              <w:rPr>
                <w:rFonts w:asciiTheme="majorBidi" w:hAnsiTheme="majorBidi" w:cstheme="majorBidi"/>
              </w:rPr>
              <w:t>to ensure the full implementation of the Council of Ministers directive to charge students the same fees for students coming from other EAC Partners States as locals and that the fees are charged in local currency.</w:t>
            </w:r>
          </w:p>
        </w:tc>
        <w:tc>
          <w:tcPr>
            <w:tcW w:w="2996" w:type="dxa"/>
          </w:tcPr>
          <w:p w14:paraId="28CF3165">
            <w:pPr>
              <w:spacing w:after="0" w:line="240" w:lineRule="auto"/>
              <w:jc w:val="both"/>
              <w:rPr>
                <w:rFonts w:asciiTheme="majorBidi" w:hAnsiTheme="majorBidi" w:cstheme="majorBidi"/>
              </w:rPr>
            </w:pPr>
            <w:r>
              <w:rPr>
                <w:rFonts w:asciiTheme="majorBidi" w:hAnsiTheme="majorBidi" w:cstheme="majorBidi"/>
              </w:rPr>
              <w:t>Immediate</w:t>
            </w:r>
          </w:p>
        </w:tc>
      </w:tr>
      <w:tr w14:paraId="2BF30A71">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shd w:val="clear" w:color="auto" w:fill="CCCCCC" w:themeFill="text1" w:themeFillTint="33"/>
          </w:tcPr>
          <w:p w14:paraId="235289E7">
            <w:pPr>
              <w:spacing w:after="0" w:line="240" w:lineRule="auto"/>
              <w:jc w:val="both"/>
              <w:rPr>
                <w:rFonts w:asciiTheme="majorBidi" w:hAnsiTheme="majorBidi" w:cstheme="majorBidi"/>
                <w:b/>
                <w:bCs/>
              </w:rPr>
            </w:pPr>
            <w:r>
              <w:rPr>
                <w:rFonts w:asciiTheme="majorBidi" w:hAnsiTheme="majorBidi" w:cstheme="majorBidi"/>
                <w:b/>
                <w:bCs/>
              </w:rPr>
              <w:t>5.</w:t>
            </w:r>
          </w:p>
        </w:tc>
        <w:tc>
          <w:tcPr>
            <w:tcW w:w="5430" w:type="dxa"/>
            <w:shd w:val="clear" w:color="auto" w:fill="CCCCCC" w:themeFill="text1" w:themeFillTint="33"/>
          </w:tcPr>
          <w:p w14:paraId="30811845">
            <w:pPr>
              <w:spacing w:after="0" w:line="240" w:lineRule="auto"/>
              <w:jc w:val="both"/>
              <w:rPr>
                <w:rFonts w:asciiTheme="majorBidi" w:hAnsiTheme="majorBidi" w:cstheme="majorBidi"/>
              </w:rPr>
            </w:pPr>
            <w:r>
              <w:rPr>
                <w:rFonts w:asciiTheme="majorBidi" w:hAnsiTheme="majorBidi" w:cstheme="majorBidi"/>
                <w:b/>
                <w:bCs/>
              </w:rPr>
              <w:t>Partner States</w:t>
            </w:r>
            <w:r>
              <w:rPr>
                <w:rFonts w:asciiTheme="majorBidi" w:hAnsiTheme="majorBidi" w:cstheme="majorBidi"/>
              </w:rPr>
              <w:t xml:space="preserve"> are requested to expedite the removal of visa requirement charged on students and other professionals from another EAC partner states to promote regional mobility.</w:t>
            </w:r>
          </w:p>
        </w:tc>
        <w:tc>
          <w:tcPr>
            <w:tcW w:w="2996" w:type="dxa"/>
            <w:shd w:val="clear" w:color="auto" w:fill="CCCCCC" w:themeFill="text1" w:themeFillTint="33"/>
          </w:tcPr>
          <w:p w14:paraId="638CCF21">
            <w:pPr>
              <w:spacing w:after="0" w:line="240" w:lineRule="auto"/>
              <w:jc w:val="both"/>
              <w:rPr>
                <w:rFonts w:asciiTheme="majorBidi" w:hAnsiTheme="majorBidi" w:cstheme="majorBidi"/>
              </w:rPr>
            </w:pPr>
            <w:r>
              <w:rPr>
                <w:rFonts w:asciiTheme="majorBidi" w:hAnsiTheme="majorBidi" w:cstheme="majorBidi"/>
              </w:rPr>
              <w:t>Immediate</w:t>
            </w:r>
          </w:p>
        </w:tc>
      </w:tr>
      <w:tr w14:paraId="43BDBFD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tcPr>
          <w:p w14:paraId="6E200BF8">
            <w:pPr>
              <w:spacing w:after="0" w:line="240" w:lineRule="auto"/>
              <w:jc w:val="both"/>
              <w:rPr>
                <w:rFonts w:asciiTheme="majorBidi" w:hAnsiTheme="majorBidi" w:cstheme="majorBidi"/>
                <w:b/>
                <w:bCs/>
              </w:rPr>
            </w:pPr>
            <w:r>
              <w:rPr>
                <w:rFonts w:asciiTheme="majorBidi" w:hAnsiTheme="majorBidi" w:cstheme="majorBidi"/>
                <w:b/>
                <w:bCs/>
              </w:rPr>
              <w:t>6.</w:t>
            </w:r>
          </w:p>
        </w:tc>
        <w:tc>
          <w:tcPr>
            <w:tcW w:w="5430" w:type="dxa"/>
          </w:tcPr>
          <w:p w14:paraId="5E7811C5">
            <w:pPr>
              <w:spacing w:after="0" w:line="240" w:lineRule="auto"/>
              <w:jc w:val="both"/>
              <w:rPr>
                <w:rFonts w:asciiTheme="majorBidi" w:hAnsiTheme="majorBidi" w:cstheme="majorBidi"/>
              </w:rPr>
            </w:pPr>
            <w:r>
              <w:rPr>
                <w:rFonts w:asciiTheme="majorBidi" w:hAnsiTheme="majorBidi" w:cstheme="majorBidi"/>
                <w:b/>
                <w:bCs/>
              </w:rPr>
              <w:t>National Councils and Commissions for Higher Education</w:t>
            </w:r>
            <w:r>
              <w:rPr>
                <w:rFonts w:asciiTheme="majorBidi" w:hAnsiTheme="majorBidi" w:cstheme="majorBidi"/>
              </w:rPr>
              <w:t xml:space="preserve"> to ensure that Higher Education Institutions establish internal compliance committees to oversee institutional alignment with regional frameworks. </w:t>
            </w:r>
          </w:p>
        </w:tc>
        <w:tc>
          <w:tcPr>
            <w:tcW w:w="2996" w:type="dxa"/>
          </w:tcPr>
          <w:p w14:paraId="3F4E8E81">
            <w:pPr>
              <w:spacing w:after="0" w:line="240" w:lineRule="auto"/>
              <w:jc w:val="both"/>
              <w:rPr>
                <w:rFonts w:asciiTheme="majorBidi" w:hAnsiTheme="majorBidi" w:cstheme="majorBidi"/>
              </w:rPr>
            </w:pPr>
            <w:r>
              <w:rPr>
                <w:rFonts w:asciiTheme="majorBidi" w:hAnsiTheme="majorBidi" w:cstheme="majorBidi"/>
              </w:rPr>
              <w:t>1 year</w:t>
            </w:r>
          </w:p>
        </w:tc>
      </w:tr>
      <w:tr w14:paraId="1739F42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0" w:type="dxa"/>
            <w:shd w:val="clear" w:color="auto" w:fill="CCCCCC" w:themeFill="text1" w:themeFillTint="33"/>
          </w:tcPr>
          <w:p w14:paraId="6A0FA2AA">
            <w:pPr>
              <w:spacing w:after="0" w:line="240" w:lineRule="auto"/>
              <w:jc w:val="both"/>
              <w:rPr>
                <w:rFonts w:asciiTheme="majorBidi" w:hAnsiTheme="majorBidi" w:cstheme="majorBidi"/>
                <w:b/>
                <w:bCs/>
              </w:rPr>
            </w:pPr>
            <w:r>
              <w:rPr>
                <w:rFonts w:asciiTheme="majorBidi" w:hAnsiTheme="majorBidi" w:cstheme="majorBidi"/>
                <w:b/>
                <w:bCs/>
              </w:rPr>
              <w:t>7.</w:t>
            </w:r>
          </w:p>
        </w:tc>
        <w:tc>
          <w:tcPr>
            <w:tcW w:w="5430" w:type="dxa"/>
            <w:shd w:val="clear" w:color="auto" w:fill="CCCCCC" w:themeFill="text1" w:themeFillTint="33"/>
          </w:tcPr>
          <w:p w14:paraId="74E042B9">
            <w:pPr>
              <w:spacing w:after="0" w:line="240" w:lineRule="auto"/>
              <w:jc w:val="both"/>
              <w:rPr>
                <w:rFonts w:asciiTheme="majorBidi" w:hAnsiTheme="majorBidi" w:cstheme="majorBidi"/>
              </w:rPr>
            </w:pPr>
            <w:r>
              <w:rPr>
                <w:rFonts w:asciiTheme="majorBidi" w:hAnsiTheme="majorBidi" w:cstheme="majorBidi"/>
                <w:b/>
                <w:bCs/>
              </w:rPr>
              <w:t xml:space="preserve">IUCEA </w:t>
            </w:r>
            <w:r>
              <w:rPr>
                <w:rFonts w:asciiTheme="majorBidi" w:hAnsiTheme="majorBidi" w:cstheme="majorBidi"/>
              </w:rPr>
              <w:t>in conjunction with the Forum of CEOs of National Councils and Commissions for Higher Education in EAC Partner States to develop proposal for the establishment of a regional mobility fund.</w:t>
            </w:r>
          </w:p>
        </w:tc>
        <w:tc>
          <w:tcPr>
            <w:tcW w:w="2996" w:type="dxa"/>
            <w:shd w:val="clear" w:color="auto" w:fill="CCCCCC" w:themeFill="text1" w:themeFillTint="33"/>
          </w:tcPr>
          <w:p w14:paraId="5A6CB3C8">
            <w:pPr>
              <w:spacing w:after="0" w:line="240" w:lineRule="auto"/>
              <w:jc w:val="both"/>
              <w:rPr>
                <w:rFonts w:asciiTheme="majorBidi" w:hAnsiTheme="majorBidi" w:cstheme="majorBidi"/>
              </w:rPr>
            </w:pPr>
            <w:r>
              <w:rPr>
                <w:rFonts w:asciiTheme="majorBidi" w:hAnsiTheme="majorBidi" w:cstheme="majorBidi"/>
              </w:rPr>
              <w:t>2 years</w:t>
            </w:r>
          </w:p>
        </w:tc>
      </w:tr>
    </w:tbl>
    <w:p w14:paraId="0735B3BC">
      <w:pPr>
        <w:jc w:val="both"/>
        <w:rPr>
          <w:rFonts w:asciiTheme="majorBidi" w:hAnsiTheme="majorBidi" w:cstheme="majorBidi"/>
        </w:rPr>
      </w:pPr>
    </w:p>
    <w:sectPr>
      <w:footerReference r:id="rId5" w:type="default"/>
      <w:pgSz w:w="11906" w:h="16838"/>
      <w:pgMar w:top="993" w:right="1440" w:bottom="993" w:left="1440" w:header="708" w:footer="23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278141"/>
      <w:docPartObj>
        <w:docPartGallery w:val="AutoText"/>
      </w:docPartObj>
    </w:sdtPr>
    <w:sdtContent>
      <w:p w14:paraId="18C347E3">
        <w:pPr>
          <w:pStyle w:val="13"/>
          <w:jc w:val="right"/>
        </w:pPr>
        <w:r>
          <w:fldChar w:fldCharType="begin"/>
        </w:r>
        <w:r>
          <w:instrText xml:space="preserve"> PAGE   \* MERGEFORMAT </w:instrText>
        </w:r>
        <w:r>
          <w:fldChar w:fldCharType="separate"/>
        </w:r>
        <w:r>
          <w:t>2</w:t>
        </w:r>
        <w:r>
          <w:fldChar w:fldCharType="end"/>
        </w:r>
      </w:p>
    </w:sdtContent>
  </w:sdt>
  <w:p w14:paraId="75FFBD56">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B4D79"/>
    <w:multiLevelType w:val="multilevel"/>
    <w:tmpl w:val="08EB4D79"/>
    <w:lvl w:ilvl="0" w:tentative="0">
      <w:start w:val="1"/>
      <w:numFmt w:val="decimal"/>
      <w:lvlText w:val="%1."/>
      <w:lvlJc w:val="left"/>
      <w:pPr>
        <w:tabs>
          <w:tab w:val="left" w:pos="720"/>
        </w:tabs>
        <w:ind w:left="720" w:hanging="360"/>
      </w:pPr>
    </w:lvl>
    <w:lvl w:ilvl="1" w:tentative="0">
      <w:start w:val="1"/>
      <w:numFmt w:val="lowerRoman"/>
      <w:lvlText w:val="%2."/>
      <w:lvlJc w:val="righ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1C5428B"/>
    <w:multiLevelType w:val="multilevel"/>
    <w:tmpl w:val="21C5428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5E67C30"/>
    <w:multiLevelType w:val="multilevel"/>
    <w:tmpl w:val="35E67C3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802218"/>
    <w:multiLevelType w:val="multilevel"/>
    <w:tmpl w:val="4C8022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CE50AC2"/>
    <w:multiLevelType w:val="multilevel"/>
    <w:tmpl w:val="5CE50A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71B0E9C"/>
    <w:multiLevelType w:val="multilevel"/>
    <w:tmpl w:val="771B0E9C"/>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C772196"/>
    <w:multiLevelType w:val="multilevel"/>
    <w:tmpl w:val="7C772196"/>
    <w:lvl w:ilvl="0" w:tentative="0">
      <w:start w:val="1"/>
      <w:numFmt w:val="decimal"/>
      <w:lvlText w:val="%1."/>
      <w:lvlJc w:val="left"/>
      <w:pPr>
        <w:tabs>
          <w:tab w:val="left" w:pos="720"/>
        </w:tabs>
        <w:ind w:left="720" w:hanging="360"/>
      </w:pPr>
      <w:rPr>
        <w:rFonts w:asciiTheme="majorBidi" w:hAnsiTheme="majorBidi" w:eastAsiaTheme="minorHAnsi" w:cstheme="majorBidi"/>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AD"/>
    <w:rsid w:val="00004B7F"/>
    <w:rsid w:val="000138CB"/>
    <w:rsid w:val="000229C2"/>
    <w:rsid w:val="00027CC9"/>
    <w:rsid w:val="00036F1C"/>
    <w:rsid w:val="00046DEE"/>
    <w:rsid w:val="00050D31"/>
    <w:rsid w:val="00050F81"/>
    <w:rsid w:val="00053838"/>
    <w:rsid w:val="00057ECF"/>
    <w:rsid w:val="00062D19"/>
    <w:rsid w:val="0006711C"/>
    <w:rsid w:val="0006776D"/>
    <w:rsid w:val="00074787"/>
    <w:rsid w:val="00075DD1"/>
    <w:rsid w:val="000769F7"/>
    <w:rsid w:val="000860A9"/>
    <w:rsid w:val="0009748C"/>
    <w:rsid w:val="000A2D4A"/>
    <w:rsid w:val="000B29F8"/>
    <w:rsid w:val="000B40FD"/>
    <w:rsid w:val="000C0B81"/>
    <w:rsid w:val="000C3D3C"/>
    <w:rsid w:val="000C49FC"/>
    <w:rsid w:val="000C7069"/>
    <w:rsid w:val="000D41FC"/>
    <w:rsid w:val="000D563E"/>
    <w:rsid w:val="000E03A9"/>
    <w:rsid w:val="000F3EE1"/>
    <w:rsid w:val="00105E01"/>
    <w:rsid w:val="001065DE"/>
    <w:rsid w:val="00116370"/>
    <w:rsid w:val="00126F98"/>
    <w:rsid w:val="001322F5"/>
    <w:rsid w:val="0013718B"/>
    <w:rsid w:val="00145BAF"/>
    <w:rsid w:val="001511DE"/>
    <w:rsid w:val="001571BC"/>
    <w:rsid w:val="001668A8"/>
    <w:rsid w:val="00167529"/>
    <w:rsid w:val="001777F1"/>
    <w:rsid w:val="00180E16"/>
    <w:rsid w:val="00180FFC"/>
    <w:rsid w:val="00187ABC"/>
    <w:rsid w:val="001924F1"/>
    <w:rsid w:val="00194FF6"/>
    <w:rsid w:val="001960AD"/>
    <w:rsid w:val="001A7078"/>
    <w:rsid w:val="001A7171"/>
    <w:rsid w:val="001B251D"/>
    <w:rsid w:val="001B302D"/>
    <w:rsid w:val="001B6FD3"/>
    <w:rsid w:val="001C3F17"/>
    <w:rsid w:val="001C49D3"/>
    <w:rsid w:val="001D5E9B"/>
    <w:rsid w:val="001D65E8"/>
    <w:rsid w:val="001E4C43"/>
    <w:rsid w:val="001F2566"/>
    <w:rsid w:val="001F7971"/>
    <w:rsid w:val="00211876"/>
    <w:rsid w:val="00211D86"/>
    <w:rsid w:val="00211F49"/>
    <w:rsid w:val="00225E9B"/>
    <w:rsid w:val="002322A9"/>
    <w:rsid w:val="002338B8"/>
    <w:rsid w:val="0024187E"/>
    <w:rsid w:val="00241FA8"/>
    <w:rsid w:val="00242F26"/>
    <w:rsid w:val="002451B6"/>
    <w:rsid w:val="00247DE9"/>
    <w:rsid w:val="00257F34"/>
    <w:rsid w:val="002702DC"/>
    <w:rsid w:val="002705D2"/>
    <w:rsid w:val="00271875"/>
    <w:rsid w:val="002743C4"/>
    <w:rsid w:val="0028729A"/>
    <w:rsid w:val="0029403A"/>
    <w:rsid w:val="002A23B4"/>
    <w:rsid w:val="002A6C56"/>
    <w:rsid w:val="002A7B3B"/>
    <w:rsid w:val="002C2C89"/>
    <w:rsid w:val="002D3AFE"/>
    <w:rsid w:val="002D44BA"/>
    <w:rsid w:val="002D7419"/>
    <w:rsid w:val="002E3A44"/>
    <w:rsid w:val="002F3466"/>
    <w:rsid w:val="002F3E53"/>
    <w:rsid w:val="002F5A3C"/>
    <w:rsid w:val="0030125D"/>
    <w:rsid w:val="0031184F"/>
    <w:rsid w:val="00317EC2"/>
    <w:rsid w:val="0032498E"/>
    <w:rsid w:val="003334DE"/>
    <w:rsid w:val="00353341"/>
    <w:rsid w:val="003740BD"/>
    <w:rsid w:val="00376E9A"/>
    <w:rsid w:val="00380AA7"/>
    <w:rsid w:val="00380B84"/>
    <w:rsid w:val="0038164D"/>
    <w:rsid w:val="003A15BA"/>
    <w:rsid w:val="003A67B0"/>
    <w:rsid w:val="003B0EFC"/>
    <w:rsid w:val="003C0C3D"/>
    <w:rsid w:val="003D70A6"/>
    <w:rsid w:val="004006BF"/>
    <w:rsid w:val="00403611"/>
    <w:rsid w:val="0040449D"/>
    <w:rsid w:val="0041173E"/>
    <w:rsid w:val="0041247E"/>
    <w:rsid w:val="00414CF2"/>
    <w:rsid w:val="00423284"/>
    <w:rsid w:val="00433E5B"/>
    <w:rsid w:val="004504A9"/>
    <w:rsid w:val="00451929"/>
    <w:rsid w:val="00454291"/>
    <w:rsid w:val="00462241"/>
    <w:rsid w:val="00467D06"/>
    <w:rsid w:val="00472B6C"/>
    <w:rsid w:val="00473938"/>
    <w:rsid w:val="004869F0"/>
    <w:rsid w:val="00486B16"/>
    <w:rsid w:val="004A2269"/>
    <w:rsid w:val="004A25AC"/>
    <w:rsid w:val="004A3680"/>
    <w:rsid w:val="004A5A0F"/>
    <w:rsid w:val="004B403B"/>
    <w:rsid w:val="004B43A7"/>
    <w:rsid w:val="004B7C7A"/>
    <w:rsid w:val="004D13A4"/>
    <w:rsid w:val="004D5B88"/>
    <w:rsid w:val="00500CEF"/>
    <w:rsid w:val="0050456E"/>
    <w:rsid w:val="00507EE8"/>
    <w:rsid w:val="005133DA"/>
    <w:rsid w:val="00532336"/>
    <w:rsid w:val="00540FED"/>
    <w:rsid w:val="00542381"/>
    <w:rsid w:val="00542613"/>
    <w:rsid w:val="00543B35"/>
    <w:rsid w:val="00543CE9"/>
    <w:rsid w:val="00546E2B"/>
    <w:rsid w:val="005510FE"/>
    <w:rsid w:val="00564CD5"/>
    <w:rsid w:val="005832E1"/>
    <w:rsid w:val="00583BFA"/>
    <w:rsid w:val="00586448"/>
    <w:rsid w:val="005872D5"/>
    <w:rsid w:val="00595449"/>
    <w:rsid w:val="00595AC0"/>
    <w:rsid w:val="005A7552"/>
    <w:rsid w:val="005B555D"/>
    <w:rsid w:val="005C1AA3"/>
    <w:rsid w:val="005D03A6"/>
    <w:rsid w:val="005D521D"/>
    <w:rsid w:val="005F5B9A"/>
    <w:rsid w:val="00600BD4"/>
    <w:rsid w:val="00604FA3"/>
    <w:rsid w:val="00613666"/>
    <w:rsid w:val="00617C47"/>
    <w:rsid w:val="00626039"/>
    <w:rsid w:val="006262DA"/>
    <w:rsid w:val="00631556"/>
    <w:rsid w:val="00636625"/>
    <w:rsid w:val="00643807"/>
    <w:rsid w:val="0064413B"/>
    <w:rsid w:val="0067163B"/>
    <w:rsid w:val="00671DD0"/>
    <w:rsid w:val="006777FE"/>
    <w:rsid w:val="00677F4C"/>
    <w:rsid w:val="00680632"/>
    <w:rsid w:val="006813F2"/>
    <w:rsid w:val="00690895"/>
    <w:rsid w:val="00696E76"/>
    <w:rsid w:val="006A6FC0"/>
    <w:rsid w:val="006A79B4"/>
    <w:rsid w:val="006B5D81"/>
    <w:rsid w:val="006C53C2"/>
    <w:rsid w:val="006D6229"/>
    <w:rsid w:val="006E04CC"/>
    <w:rsid w:val="006E0BFB"/>
    <w:rsid w:val="006E7627"/>
    <w:rsid w:val="006F161C"/>
    <w:rsid w:val="00703948"/>
    <w:rsid w:val="00703DEC"/>
    <w:rsid w:val="00711E67"/>
    <w:rsid w:val="0071271B"/>
    <w:rsid w:val="00717231"/>
    <w:rsid w:val="00721A31"/>
    <w:rsid w:val="0072445A"/>
    <w:rsid w:val="00737400"/>
    <w:rsid w:val="00740BDB"/>
    <w:rsid w:val="007471A3"/>
    <w:rsid w:val="007512B4"/>
    <w:rsid w:val="00761776"/>
    <w:rsid w:val="00764B52"/>
    <w:rsid w:val="00765A84"/>
    <w:rsid w:val="00774799"/>
    <w:rsid w:val="00780C96"/>
    <w:rsid w:val="007A3417"/>
    <w:rsid w:val="007A7668"/>
    <w:rsid w:val="007B4091"/>
    <w:rsid w:val="007C1472"/>
    <w:rsid w:val="007C29F8"/>
    <w:rsid w:val="007C6AAA"/>
    <w:rsid w:val="007D7EFE"/>
    <w:rsid w:val="007E0EDE"/>
    <w:rsid w:val="007E258B"/>
    <w:rsid w:val="007F0BA7"/>
    <w:rsid w:val="007F61D0"/>
    <w:rsid w:val="008064DA"/>
    <w:rsid w:val="00821213"/>
    <w:rsid w:val="00821355"/>
    <w:rsid w:val="00822476"/>
    <w:rsid w:val="008427DF"/>
    <w:rsid w:val="00843816"/>
    <w:rsid w:val="0084645D"/>
    <w:rsid w:val="00856B41"/>
    <w:rsid w:val="008644F6"/>
    <w:rsid w:val="0087454D"/>
    <w:rsid w:val="008763D1"/>
    <w:rsid w:val="0087677F"/>
    <w:rsid w:val="0088015D"/>
    <w:rsid w:val="0088105F"/>
    <w:rsid w:val="0088247C"/>
    <w:rsid w:val="0088359C"/>
    <w:rsid w:val="00890A42"/>
    <w:rsid w:val="00893D49"/>
    <w:rsid w:val="008B0D08"/>
    <w:rsid w:val="008B2215"/>
    <w:rsid w:val="008B65CD"/>
    <w:rsid w:val="008C12CE"/>
    <w:rsid w:val="008C4726"/>
    <w:rsid w:val="008E0267"/>
    <w:rsid w:val="00900589"/>
    <w:rsid w:val="00904963"/>
    <w:rsid w:val="00904AA1"/>
    <w:rsid w:val="00911755"/>
    <w:rsid w:val="009139D9"/>
    <w:rsid w:val="00913DC2"/>
    <w:rsid w:val="009169AA"/>
    <w:rsid w:val="009174D7"/>
    <w:rsid w:val="00931C73"/>
    <w:rsid w:val="00935971"/>
    <w:rsid w:val="00940FD5"/>
    <w:rsid w:val="00953455"/>
    <w:rsid w:val="00954836"/>
    <w:rsid w:val="00972C93"/>
    <w:rsid w:val="00974432"/>
    <w:rsid w:val="00975305"/>
    <w:rsid w:val="009800B8"/>
    <w:rsid w:val="00982D59"/>
    <w:rsid w:val="0098529A"/>
    <w:rsid w:val="00986635"/>
    <w:rsid w:val="009B0826"/>
    <w:rsid w:val="009B3301"/>
    <w:rsid w:val="009C229E"/>
    <w:rsid w:val="009C7550"/>
    <w:rsid w:val="009D2DA8"/>
    <w:rsid w:val="009D328C"/>
    <w:rsid w:val="009E0F82"/>
    <w:rsid w:val="009E34D3"/>
    <w:rsid w:val="009E77EA"/>
    <w:rsid w:val="009F0ED9"/>
    <w:rsid w:val="00A0270D"/>
    <w:rsid w:val="00A1107C"/>
    <w:rsid w:val="00A11A44"/>
    <w:rsid w:val="00A17C51"/>
    <w:rsid w:val="00A200CC"/>
    <w:rsid w:val="00A2579C"/>
    <w:rsid w:val="00A328E5"/>
    <w:rsid w:val="00A3556C"/>
    <w:rsid w:val="00A41252"/>
    <w:rsid w:val="00A45408"/>
    <w:rsid w:val="00A5735D"/>
    <w:rsid w:val="00A6376D"/>
    <w:rsid w:val="00A64A2A"/>
    <w:rsid w:val="00A66624"/>
    <w:rsid w:val="00A6682D"/>
    <w:rsid w:val="00A8082F"/>
    <w:rsid w:val="00A84813"/>
    <w:rsid w:val="00AA11FF"/>
    <w:rsid w:val="00AA4110"/>
    <w:rsid w:val="00AA5180"/>
    <w:rsid w:val="00AB217E"/>
    <w:rsid w:val="00AB7E7D"/>
    <w:rsid w:val="00AC29DA"/>
    <w:rsid w:val="00AC7C28"/>
    <w:rsid w:val="00AD7725"/>
    <w:rsid w:val="00AF07AA"/>
    <w:rsid w:val="00AF1641"/>
    <w:rsid w:val="00AF2014"/>
    <w:rsid w:val="00AF35E2"/>
    <w:rsid w:val="00AF60E2"/>
    <w:rsid w:val="00B07F66"/>
    <w:rsid w:val="00B11008"/>
    <w:rsid w:val="00B11C79"/>
    <w:rsid w:val="00B23754"/>
    <w:rsid w:val="00B252A0"/>
    <w:rsid w:val="00B317FD"/>
    <w:rsid w:val="00B31B16"/>
    <w:rsid w:val="00B33DA1"/>
    <w:rsid w:val="00B41D03"/>
    <w:rsid w:val="00B46D3B"/>
    <w:rsid w:val="00B52219"/>
    <w:rsid w:val="00B606FD"/>
    <w:rsid w:val="00B60E18"/>
    <w:rsid w:val="00B62D55"/>
    <w:rsid w:val="00B67723"/>
    <w:rsid w:val="00B75D5B"/>
    <w:rsid w:val="00B81453"/>
    <w:rsid w:val="00B849A7"/>
    <w:rsid w:val="00BA7857"/>
    <w:rsid w:val="00BB319D"/>
    <w:rsid w:val="00BC0F8F"/>
    <w:rsid w:val="00BC6565"/>
    <w:rsid w:val="00BD3B96"/>
    <w:rsid w:val="00BE0B82"/>
    <w:rsid w:val="00BE2EE0"/>
    <w:rsid w:val="00BE7746"/>
    <w:rsid w:val="00C0283B"/>
    <w:rsid w:val="00C0509A"/>
    <w:rsid w:val="00C133FA"/>
    <w:rsid w:val="00C2222B"/>
    <w:rsid w:val="00C27B42"/>
    <w:rsid w:val="00C321B1"/>
    <w:rsid w:val="00C33595"/>
    <w:rsid w:val="00C37278"/>
    <w:rsid w:val="00C422AE"/>
    <w:rsid w:val="00C516A7"/>
    <w:rsid w:val="00C519AB"/>
    <w:rsid w:val="00C51B48"/>
    <w:rsid w:val="00C534DB"/>
    <w:rsid w:val="00C53CB6"/>
    <w:rsid w:val="00C81968"/>
    <w:rsid w:val="00C822BB"/>
    <w:rsid w:val="00C842C0"/>
    <w:rsid w:val="00C871FA"/>
    <w:rsid w:val="00CA2403"/>
    <w:rsid w:val="00CA55E5"/>
    <w:rsid w:val="00CA5838"/>
    <w:rsid w:val="00CC347B"/>
    <w:rsid w:val="00CC5B10"/>
    <w:rsid w:val="00CD7823"/>
    <w:rsid w:val="00CE6888"/>
    <w:rsid w:val="00CF0B1B"/>
    <w:rsid w:val="00CF3269"/>
    <w:rsid w:val="00CF4E6C"/>
    <w:rsid w:val="00D04052"/>
    <w:rsid w:val="00D24E42"/>
    <w:rsid w:val="00D331ED"/>
    <w:rsid w:val="00D36499"/>
    <w:rsid w:val="00D36DBC"/>
    <w:rsid w:val="00D43EEF"/>
    <w:rsid w:val="00D50F94"/>
    <w:rsid w:val="00D55231"/>
    <w:rsid w:val="00D55676"/>
    <w:rsid w:val="00D61DFF"/>
    <w:rsid w:val="00D84739"/>
    <w:rsid w:val="00D85E0A"/>
    <w:rsid w:val="00D939E2"/>
    <w:rsid w:val="00D97BE0"/>
    <w:rsid w:val="00DA44E5"/>
    <w:rsid w:val="00DB1266"/>
    <w:rsid w:val="00DB2A5A"/>
    <w:rsid w:val="00DD2BE7"/>
    <w:rsid w:val="00DE2FA7"/>
    <w:rsid w:val="00DE3F94"/>
    <w:rsid w:val="00DF47E3"/>
    <w:rsid w:val="00DF78E2"/>
    <w:rsid w:val="00E01170"/>
    <w:rsid w:val="00E017CC"/>
    <w:rsid w:val="00E029D9"/>
    <w:rsid w:val="00E02D32"/>
    <w:rsid w:val="00E15ECE"/>
    <w:rsid w:val="00E23C99"/>
    <w:rsid w:val="00E25E63"/>
    <w:rsid w:val="00E30D54"/>
    <w:rsid w:val="00E30DA9"/>
    <w:rsid w:val="00E427C8"/>
    <w:rsid w:val="00E436AF"/>
    <w:rsid w:val="00E51179"/>
    <w:rsid w:val="00E56F50"/>
    <w:rsid w:val="00E62203"/>
    <w:rsid w:val="00E65319"/>
    <w:rsid w:val="00E74F4C"/>
    <w:rsid w:val="00E769F5"/>
    <w:rsid w:val="00E7763E"/>
    <w:rsid w:val="00E808B7"/>
    <w:rsid w:val="00E809DC"/>
    <w:rsid w:val="00E9422E"/>
    <w:rsid w:val="00EA40C7"/>
    <w:rsid w:val="00EC5564"/>
    <w:rsid w:val="00EC765A"/>
    <w:rsid w:val="00ED3D34"/>
    <w:rsid w:val="00EE0751"/>
    <w:rsid w:val="00EE0EAE"/>
    <w:rsid w:val="00EF062E"/>
    <w:rsid w:val="00EF12C1"/>
    <w:rsid w:val="00EF1455"/>
    <w:rsid w:val="00F016AD"/>
    <w:rsid w:val="00F02D3B"/>
    <w:rsid w:val="00F035C1"/>
    <w:rsid w:val="00F21EBE"/>
    <w:rsid w:val="00F22918"/>
    <w:rsid w:val="00F45D89"/>
    <w:rsid w:val="00F46972"/>
    <w:rsid w:val="00F551CE"/>
    <w:rsid w:val="00F72038"/>
    <w:rsid w:val="00F91AA9"/>
    <w:rsid w:val="00FB4A72"/>
    <w:rsid w:val="00FC5352"/>
    <w:rsid w:val="00FD7948"/>
    <w:rsid w:val="6E7758D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513"/>
        <w:tab w:val="right" w:pos="9026"/>
      </w:tabs>
      <w:spacing w:after="0" w:line="240" w:lineRule="auto"/>
    </w:pPr>
  </w:style>
  <w:style w:type="paragraph" w:styleId="14">
    <w:name w:val="header"/>
    <w:basedOn w:val="1"/>
    <w:link w:val="37"/>
    <w:unhideWhenUsed/>
    <w:qFormat/>
    <w:uiPriority w:val="99"/>
    <w:pPr>
      <w:tabs>
        <w:tab w:val="center" w:pos="4513"/>
        <w:tab w:val="right" w:pos="9026"/>
      </w:tabs>
      <w:spacing w:after="0" w:line="240" w:lineRule="auto"/>
    </w:p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table" w:customStyle="1" w:styleId="36">
    <w:name w:val="Grid Table Light"/>
    <w:basedOn w:val="12"/>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7">
    <w:name w:val="Header Char"/>
    <w:basedOn w:val="11"/>
    <w:link w:val="14"/>
    <w:uiPriority w:val="99"/>
  </w:style>
  <w:style w:type="character" w:customStyle="1" w:styleId="38">
    <w:name w:val="Footer Char"/>
    <w:basedOn w:val="11"/>
    <w:link w:val="13"/>
    <w:uiPriority w:val="99"/>
  </w:style>
  <w:style w:type="table" w:customStyle="1" w:styleId="39">
    <w:name w:val="Grid Table 4"/>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2115</Words>
  <Characters>13047</Characters>
  <Lines>303</Lines>
  <Paragraphs>116</Paragraphs>
  <TotalTime>7</TotalTime>
  <ScaleCrop>false</ScaleCrop>
  <LinksUpToDate>false</LinksUpToDate>
  <CharactersWithSpaces>15053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2025-09-12T08:56:00Z</dcterms:created>
  <dc:creator>Prof. Michael Mawa</dc:creator>
  <cp:lastModifiedBy>hp</cp:lastModifiedBy>
  <dcterms:modified xsi:type="dcterms:W3CDTF">2025-09-16T11:19:20Z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433431b8-a63d-4c5d-b630-520fa1510095</vt:lpwstr>
  </property>
  <property fmtid="{D5CDD505-2E9C-101B-9397-08002B2CF9AE}" pid="3" name="KSOProductBuildVer">
    <vt:lpwstr>1033-12.2.0.22549</vt:lpwstr>
  </property>
  <property fmtid="{D5CDD505-2E9C-101B-9397-08002B2CF9AE}" pid="4" name="ICV">
    <vt:lpwstr>BBE7DF16091D4021B9BC81930F5E32D3_13</vt:lpwstr>
  </property>
</Properties>
</file>